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ordinamento nazionale, ordinamento internazionale, ordinamento sovranazionale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619"/>
        <w:gridCol w:w="3827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diritto e le norme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fonti del diritto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diritti e i beni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>I soggetti del diritto</w:t>
            </w:r>
          </w:p>
        </w:tc>
        <w:tc>
          <w:tcPr>
            <w:tcW w:w="8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Schematizzare il sistema delle fonti del diritto italiano, sovranazionali e internazionali del nostro ordinamento giuridico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Risolvere conflitti tra norme applicando i criteri di coordinamento delle fonti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definire i caratteri delle relazioni internazionali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Identificare gli elementi di un rapporto giuridico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le fonti dell’ordinamento internazionale e sovranazionale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i principi contenuti negli articoli 10 e 11 della Costituzione.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indicare le principali finalità dell’Unione Europea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e individuare le diverse istituzioni dell’Unione europea e le loro principali competenze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riconoscere le fonti del diritto comunitario, sapendole rapportare all'ordinamento giuridico italiano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norme relative a una categoria di argomenti e individuare le parti che afferiscono a una data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diversi soggetti giuridici nel promuovere lo sviluppo economico, sociale  territoriale ed internazionale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L’ordinamento giuridico nazionale;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Partizioni del diritto: diritto privato e diritto pubblico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Diritto privato e diritto pubblico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Fonti del diritto italiano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relazioni internazionali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l’ordinamento internazionale e le sue fonti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origini e gli sviluppi dell’integrazione europea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istituzioni comunitarie e le fonti del diritto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codice civile e le leggi speciali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rapporto giuridico (concetto, parti, terzi)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Situazioni giuridiche attive e passive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diritti soggettivi e la loro classificazione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oggetti del diritto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soggetti del diritto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 persone fisiche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organizzazioni collettive</w:t>
            </w:r>
          </w:p>
          <w:p>
            <w:pPr>
              <w:pStyle w:val="Normal"/>
              <w:ind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ind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napToGrid w:val="false"/>
        <w:spacing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Introduzione al diritto civile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619"/>
        <w:gridCol w:w="3827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diritto civile e le sue fonti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diritti e i beni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bCs/>
                <w:sz w:val="20"/>
                <w:szCs w:val="20"/>
              </w:rPr>
            </w:pPr>
            <w:r>
              <w:rPr>
                <w:sz w:val="16"/>
                <w:szCs w:val="16"/>
              </w:rPr>
              <w:t>I soggetti del diritto</w:t>
            </w:r>
          </w:p>
        </w:tc>
        <w:tc>
          <w:tcPr>
            <w:tcW w:w="861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le fonti del diritto civile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Identificare gli elementi di un rapporto giuridico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situazioni soggettive attive e passive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 i diritti soggettivi in base ai criteri studiati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il modo di acquisto dei diritti a titolo originario e a titolo derivativo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gli effetti del tempo sulla perdita dei diritti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i beni in base ai criteri studiati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ipotesi di capacità giuridica e capacità d’agire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e classificare le persone giuridiche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le organizzazioni collettive con e senza personalità giuridica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a casi concreti i concetti di autonomia patrimoniale perfetta e imperfetta.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norme relative a una categoria di argomenti e individuare le parti che afferiscono a una data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</w:tc>
        <w:tc>
          <w:tcPr>
            <w:tcW w:w="382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diritto civile e le fonti del diritto civile: codice civile e  leggi speciali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rapporto giuridico (concetto, parti, terzi)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Situazioni giuridiche attive e passive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diritti soggettivi e la loro classificazione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oggetti del diritto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soggetti del diritto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 persone fisiche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organizzazioni collettive</w:t>
            </w:r>
          </w:p>
          <w:p>
            <w:pPr>
              <w:pStyle w:val="Standard"/>
              <w:suppressAutoHyphens w:val="true"/>
              <w:snapToGrid w:val="false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diritto civile: la disciplina della privacy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476"/>
        <w:gridCol w:w="39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Privacy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Normativa nazionale e comunitaria sulla sicurezza e sul trattamento dei dati personali</w:t>
            </w:r>
          </w:p>
        </w:tc>
        <w:tc>
          <w:tcPr>
            <w:tcW w:w="84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principali diritti della personalità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l’importante problema della sicurezza dei dati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modalità di raccolta e di trattamento dei dati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 documenti in materia di privacy aziendale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Il </w:t>
            </w:r>
            <w:r>
              <w:rPr>
                <w:sz w:val="16"/>
                <w:szCs w:val="16"/>
              </w:rPr>
              <w:t>trattamento</w:t>
            </w:r>
            <w:r>
              <w:rPr>
                <w:bCs/>
                <w:sz w:val="16"/>
                <w:szCs w:val="16"/>
              </w:rPr>
              <w:t xml:space="preserve"> e la protezione dei dati personali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>
          <w:b/>
          <w:bCs/>
        </w:rPr>
      </w:pPr>
      <w:r>
        <w:rPr>
          <w:b/>
          <w:bCs/>
        </w:rPr>
      </w:r>
      <w:r>
        <w:br w:type="page"/>
      </w:r>
    </w:p>
    <w:p>
      <w:pPr>
        <w:pStyle w:val="Normal"/>
        <w:widowControl/>
        <w:suppressAutoHyphens w:val="false"/>
        <w:spacing w:before="0" w:after="0"/>
        <w:textAlignment w:val="auto"/>
        <w:rPr>
          <w:b/>
          <w:bCs/>
        </w:rPr>
      </w:pPr>
      <w:r>
        <w:rPr>
          <w:b/>
          <w:bCs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diritto civile: Diritti reali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902"/>
        <w:gridCol w:w="3544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Diritti reali: proprietà e gli altri diritti reali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Possesso</w:t>
            </w:r>
          </w:p>
          <w:p>
            <w:pPr>
              <w:pStyle w:val="ListParagraph"/>
              <w:widowControl w:val="false"/>
              <w:spacing w:lineRule="auto" w:line="240" w:before="0" w:after="0"/>
              <w:ind w:left="360"/>
              <w:contextualSpacing/>
              <w:textAlignment w:val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modalità di esercizio e i limiti del diritto di proprietà nell’interesse pubblico e nell’interesse privato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i presupposti e gli effetti dei diversi modi di acquisto della proprietà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in casi concreti il titolo di acquisto della proprietà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 diritti reali di godimento dal diritto di proprietà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il concetto di tipicità dei diritti reali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Identificare i modi di acquisto e di estinzione dei diritti reali di godimento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disciplina giuridica e la funzione economica dei principali  diritti reali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 caratteri principali dei diritti reali su cosa altrui, individuando diritti e obblighi dei loro titolari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situazioni di fatto dalle situazioni di diritto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i requisiti e gli effetti della proprietà, del  possesso e della detenzione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Comparare l’istituto della proprietà nel diritto italiano e nel diritto di alcuni paesi U.E.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proprietà privata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limiti della proprietà nell’interesse pubblico e nell’interesse privato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modi di acquisto della proprietà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diritti reali di godimento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Possesso e detenzione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diritto di proprietà negli ordinamenti dei paesi della U.E.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Diritto civile: le obbligazioni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902"/>
        <w:gridCol w:w="3544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b/>
                <w:bCs/>
              </w:rPr>
            </w:pPr>
            <w:r>
              <w:rPr>
                <w:sz w:val="16"/>
                <w:szCs w:val="16"/>
              </w:rPr>
              <w:t>Obbligazioni</w:t>
            </w:r>
          </w:p>
          <w:p>
            <w:pPr>
              <w:pStyle w:val="ListParagraph"/>
              <w:widowControl w:val="false"/>
              <w:spacing w:lineRule="auto" w:line="240" w:before="0" w:after="0"/>
              <w:ind w:left="0"/>
              <w:contextualSpacing/>
              <w:textAlignment w:val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</w:r>
          </w:p>
        </w:tc>
        <w:tc>
          <w:tcPr>
            <w:tcW w:w="890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il concetto, i caratteri distintivi e gli elementi del rapporto giuridico obbligatorio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le diverse fonti delle obbligazioni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le obbligazioni in relazione ai soggetti, alla prestazione e all’oggetto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disciplina giuridica delle obbligazioni solidali e delle obbligazioni parziarie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i caratteri delle obbligazioni pecuniarie e la normativa in materia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modalità concrete di adempimento di una obbligazione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obbligazioni di risultato e le obbligazioni di mezzi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presupposti e gli effetti dell’inadempimento di una obbligazione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cause di estinzione di un’obbligazione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Descrivere la funzione e il contenuto della responsabilità patrimoniale del debitore</w:t>
            </w:r>
          </w:p>
        </w:tc>
        <w:tc>
          <w:tcPr>
            <w:tcW w:w="35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diritti di credito e le obbligazioni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fonti delle obbligazioni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principali classificazioni delle obbligazioni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Obbligazioni pecuniarie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L’adempimento delle obbligazioni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mora del debitore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L’inadempimento dell’obbligazione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risarcimento danni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penale e la caparra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L’estinzione delle obbligazioni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responsabilità del debitore</w:t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Anno:3 - diritto civile: il contratto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7485"/>
        <w:gridCol w:w="4961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Contratti tipici e atipici, inerenti l'imprenditore e la sua attività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Rappresentanza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Responsabilità contrattuale</w:t>
            </w:r>
          </w:p>
        </w:tc>
        <w:tc>
          <w:tcPr>
            <w:tcW w:w="748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Analizzare, interpretare e utilizzare schemi contrattuali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la disciplina giuridica e la funzione economica e sociale del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Identificare i requisiti essenziali e accidentali  del contratto e i loro effetti sul regolamento contrattuale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i contratti in base alle loro caratteristiche particolari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modalità e il momento di conclusione di un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la rappresentanza diretta dalla rappresentanza indiretta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Precisare la natura e la funzione dei contratti per adesione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clausole vessatorie o abusive di un contratto e comprenderne gli effetti giuridici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gli effetti del contratto tra le parti e verso i terzi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la disciplina legale del recesso.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le diverse forme di invalidità del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disciplina giuridica della nullità e dell’annullabilità del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 le diverse cause di risoluzione del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le cause e gli effetti della risoluzione del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i soggetti, il contenuto e gli effetti dei contratti trattati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diverse tipologie di contratti applicati agli scambi commerciali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e scegliere contratti diversi in relazione a funzioni diverse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elementi essenziali del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elementi accidentali del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conclusione del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rappresentanza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contratti per adesione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effetti del contratto tra le parti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effetti del contratto nei confronti di terzi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L’invalidità del contratto in generale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nullità e l’annullabilità del contratto.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risoluzione del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compravendita nel diritto italiano e la compravendita con operatori esteri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trasporto nel diritto italiano e il trasporto da e verso paesi esteri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507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Anno:4 - diritto commerciale: imprenditore e azienda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476"/>
        <w:gridCol w:w="39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Imprenditore e azienda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Forme giuridiche d'impresa: costituzione e gestione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Disciplina e tutela dei segni distintivi dell’azienda</w:t>
            </w:r>
          </w:p>
          <w:p>
            <w:pPr>
              <w:pStyle w:val="Normal"/>
              <w:ind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84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gli elementi distintivi della nozione giuridica di imprenditore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la figura del piccolo imprenditore e dell’artigiano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le attività agricole principali, connesse e l’imprenditore agricolo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la disciplina dell’impresa familiare e i rapporti tra il titolare e i collaboratori familiari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le diverse figure di collaboratori subordinati di un imprenditore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attività commerciali dalle attività agricole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Evidenziare il contenuto e la funzione dello ‘statuto’ dell’imprenditore commerciale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la funzione e gli effetti della pubblicità e della contabilità delle imprese commerciali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la normativa riguardante l'informativa di bilancio e la tutela dei diritti dell'impresa e applicarla a casi specifici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le relazioni tra impresa e azienda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la nozione e gli elementi costitutivi di un’azienda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la forma e gli effetti giuridici del trasferimento di un’azienda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la tutela giuridica della ditta, dell’insegna e del marchio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la funzione pratica e il contenuto del diritto di esclusiva su un segno distintivo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interrelazioni tra i diversi soggetti giuridici nel promuovere lo sviluppo economico, sociale  territoriale ed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diverse strutture e  tipologie di imprese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L’imprenditore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L’imprenditore commerciale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L’azienda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segni distintivi: ditta, insegna, marchio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Anno:4 - diritto commerciale: LA CONCORRENZA</w:t>
      </w:r>
    </w:p>
    <w:tbl>
      <w:tblPr>
        <w:tblW w:w="1457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126"/>
        <w:gridCol w:w="8476"/>
        <w:gridCol w:w="3970"/>
      </w:tblGrid>
      <w:tr>
        <w:trPr/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8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Disciplina della concorrenza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Compiti e funzioni delle istituzioni locali, nazionali e internazionali con particolare riferimento ai rapporti con l’impresa</w:t>
            </w:r>
          </w:p>
          <w:p>
            <w:pPr>
              <w:pStyle w:val="Normal"/>
              <w:ind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847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la normativa riguardante la tutela dei diritti dell'impresa e applicarla a casi specifici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il fondamento e il contenuto principio costituzionale della libertà dell’iniziativa economica privata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le diverse figure di atti di concorrenza sleale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 limiti della libertà di concorrenza nell’interesse pubblico e nell’interesse privato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Riassumere gli aspetti fondamentali della normativa a tutela della concorrenza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i motivi e le modalità della privatizzazione delle imprese pubbliche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diverse strutture e  tipologie di imprese operanti sul mercato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Individuare  caratteri strutturali, aspetti normativi e fiscali, vincoli e opportunità del mercato con riferimento a specifiche situazioni ambientali e produttive nazionali ed internazionali</w:t>
            </w:r>
          </w:p>
        </w:tc>
        <w:tc>
          <w:tcPr>
            <w:tcW w:w="39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concorrenza sleale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limitazioni della concorrenza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legislazione antimonopolistica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Imprese internazionali e multinazionali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consorzi e il Gruppo europeo di interesse economico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privatizzazione delle imprese pubbliche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57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Anno:4 - diritto commerciale: le società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Forme giuridiche d'impresa: costituzione e gestione</w:t>
            </w:r>
          </w:p>
          <w:p>
            <w:pPr>
              <w:pStyle w:val="Normal"/>
              <w:ind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la normativa riguardante l'informativa di bilancio e la tutela dei diritti dell'impresa e applicarla a casi specifici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Qualificare la società come atto e come rapporto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i requisiti essenziali del contratto di società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le società in base ai diversi criteri studiati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la funzione del principio di tipicità della società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Comprendere l’ambito di applicazione della società semplice come tipo di società e come disciplina giuridica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la disciplina giuridica dei rapporti tra i soci di una società semplice e dei rapporti tra i soci e i terzi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i sistemi di amministrazione e rappresentanza di una società semplice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cause e gli effetti dello scioglimento della società e del rapporto di un singolo socio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Classificare la Snc come tipo di società e individuare i caratteri distintivi della Snc rispetto alla società semplice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il contenuto e gli effetti del sistema di pubblicità legale di una Snc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disciplina della Snc regolare e di quella irregolare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il patrimonio sociale e il capitale sociale di una società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le caratteristiche giuridiche ed economiche della SpA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la forma e gli elementi essenziali dell’atto costitutivo di una SpA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presupposti e gli effetti del recesso di un socio da una SpA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Schematizzare i  diversi sistemi di organizzazione di una SpA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la struttura, il funzionamento e le competenze dell’assemblea di una SPA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Descrivere i compiti e le responsabilità degli amministratori di una SpA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la natura e le funzioni dell’organo di controllo di una SpA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Esporre le forme e gli effetti dei controlli esterni su una SpA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società in generale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società semplice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società in nome collettivo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società per azioni (rapporto sociale, organi)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La contabilità</w:t>
            </w:r>
            <w:r>
              <w:rPr>
                <w:bCs/>
                <w:sz w:val="16"/>
                <w:szCs w:val="16"/>
              </w:rPr>
              <w:t xml:space="preserve"> della società per azioni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410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Anno:4 - diritto commerciale: società per azioni: azioni, obbligazioni e contabilità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azioni e le obbligazioni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contabilità e il bilancio delle SpA</w:t>
            </w:r>
          </w:p>
          <w:p>
            <w:pPr>
              <w:pStyle w:val="Normal"/>
              <w:ind w:left="147" w:right="34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la normativa riguardante l'informativa di bilancio e la tutela dei diritti dell'impresa e applicarla a casi specifici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la disciplina giuridica, le categorie e le funzioni economiche delle azioni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Conoscere le modalità e i limiti della circolazione delle azioni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la funzione economica delle obbligazioni e la relativa disciplina giuridica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le norme a tutela del capitale sociale di una SpA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le scritture contabili e i libri sociali obbligatori di una SpA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la nozione, il contenuto e la funzione del bilancio d’esercizio e del bilancio consolidato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azioni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obbligazioni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tutela del capitale sociale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contabilità della società per azioni</w:t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Anno:4 - diritto commerciale: Bilancio sociale e ambientale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193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34"/>
              <w:textAlignment w:val="auto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Il bilancio sociale e </w:t>
            </w:r>
            <w:r>
              <w:rPr>
                <w:sz w:val="16"/>
                <w:szCs w:val="16"/>
              </w:rPr>
              <w:t>ambientale</w:t>
            </w:r>
            <w:r>
              <w:rPr>
                <w:bCs/>
                <w:sz w:val="16"/>
                <w:szCs w:val="16"/>
              </w:rPr>
              <w:t xml:space="preserve"> di un’impresa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la normativa riguardante l'informativa di bilancio e la tutela dei diritti dell'impresa e applicarla a casi specifici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la natura e la funzione del bilancio sociale e ambientale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bilancio sociale e ambientale come strumento della responsabilità dell’impresa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</w:tr>
    </w:tbl>
    <w:p>
      <w:pPr>
        <w:pStyle w:val="Standard"/>
        <w:suppressAutoHyphens w:val="true"/>
        <w:snapToGrid w:val="false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Anno:4 - diritto del lavoro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56"/>
        <w:gridCol w:w="9214"/>
        <w:gridCol w:w="3260"/>
      </w:tblGrid>
      <w:tr>
        <w:trPr/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Caratteristiche giuridiche, economiche del mercato del lavoro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34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Struttura, contenuto e aspetto economico dei contratti di lavoro anche in relazione alle situazioni locali</w:t>
            </w:r>
          </w:p>
          <w:p>
            <w:pPr>
              <w:pStyle w:val="Normal"/>
              <w:numPr>
                <w:ilvl w:val="0"/>
                <w:numId w:val="1"/>
              </w:numPr>
              <w:tabs>
                <w:tab w:val="clear" w:pos="708"/>
                <w:tab w:val="left" w:pos="1706" w:leader="none"/>
              </w:tabs>
              <w:ind w:hanging="147" w:left="147" w:right="34"/>
              <w:textAlignment w:val="auto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La sicurezza sul lavoro</w:t>
            </w:r>
          </w:p>
        </w:tc>
        <w:tc>
          <w:tcPr>
            <w:tcW w:w="9214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civilistico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Applicare le disposizioni normative a situazioni date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caratteri strutturali, aspetti normativi e fiscali, vincoli e opportunità del mercato del lavoro con riferimento a specifiche situazioni ambientali e produttive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Raffrontare tipologie diverse di rapporti di lavoro e indicare criteri di scelta in relazione ad economicità, efficienza, contesto sociale e territoriale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documenti e relazioni riguardanti la gestione delle risorse umane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la nozione e i caratteri distintivi del lavoro subordinato rispetto al lavoro autonomo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Precisare l’efficacia dei contratti collettivi di lavoro e i rapporti individuali di lavoro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Conoscere la disciplina giuridica e la funzione dello sciopero come mezzo di tutela dei lavoratori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i principali istituti in materia di previdenza e assistenza sociale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Specificare le modalità e gli adempimenti richiesti per la costituzione di un rapporto di lavoro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la disciplina giuridica applicabile a un rapporto di lavoro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la normativa a tutela delle categorie deboli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diritti ed obblighi a favore e a carico delle parti di un rapporto di lavoro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Distinguere le diverse ipotesi di cessazione di un rapporto di lavoro e i loro effetti.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Confrontare la disciplina giuridica  e le funzioni dei diversi contratti di lavoro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Conoscere gli aspetti fondamentali della normativa in materia di sicurezza nei luoghi di lavoro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Identificare i soggetti responsabili della sicurezza nell’ambito aziendale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il rispetto delle norme di sicurezza nell’ambito di un’impresa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 documenti in materia di sicurezza aziendale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lavoro subordinato e il lavoro autonomo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diritto del lavoro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 sciopero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legislazione sociale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rapporto di lavoro (costituzione, svolgimento, contenuto, sospensione e cessazione)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Contratto di lavoro a termine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Contratti speciali di lavoro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sicurezza sul lavoro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Struttura, contenuto e aspetto economico dei contratti di lavoro italiani, europei ed internazionali</w:t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</w:p>
          <w:p>
            <w:pPr>
              <w:pStyle w:val="Standard"/>
              <w:suppressAutoHyphens w:val="true"/>
              <w:snapToGrid w:val="false"/>
              <w:ind w:left="360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829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2"/>
              </w:numPr>
              <w:spacing w:lineRule="auto" w:line="216"/>
              <w:ind w:hanging="357" w:left="714" w:right="578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Individuare e utilizzare gli strumenti di comunicazione e di team working più appropriati per intervenire nei contesti organizzativi e professionali di riferimento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lineRule="auto" w:line="216" w:before="0" w:after="0"/>
              <w:ind w:hanging="360" w:left="720" w:right="144"/>
              <w:contextualSpacing/>
              <w:textAlignment w:val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Individuare le caratteristiche del mercato del lavoro e collaborare alla gestione delle risorse umane</w:t>
            </w:r>
          </w:p>
          <w:p>
            <w:pPr>
              <w:pStyle w:val="Normal"/>
              <w:numPr>
                <w:ilvl w:val="0"/>
                <w:numId w:val="2"/>
              </w:numPr>
              <w:suppressAutoHyphens w:val="false"/>
              <w:spacing w:lineRule="auto" w:line="216"/>
              <w:ind w:hanging="360" w:left="720" w:right="216"/>
              <w:textAlignment w:val="auto"/>
              <w:rPr>
                <w:rFonts w:cs="Times New Roman"/>
                <w:sz w:val="16"/>
                <w:szCs w:val="16"/>
              </w:rPr>
            </w:pPr>
            <w:r>
              <w:rPr>
                <w:rFonts w:cs="Times New Roman"/>
                <w:sz w:val="16"/>
                <w:szCs w:val="16"/>
              </w:rPr>
              <w:t>Orientarsi nel mercato dei prodotti assicurativo-finanziari, anche per collaborare nella ricerca di soluzioni economicamente vantaggiose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200"/>
              <w:contextualSpacing/>
              <w:textAlignment w:val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Analizzare e produrre i documenti relativi alla rendicontazione sociale e ambientale, alla luce dei criteri sulla responsabilità sociale d'impresa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BodyText"/>
        <w:tabs>
          <w:tab w:val="clear" w:pos="708"/>
          <w:tab w:val="left" w:pos="5812" w:leader="none"/>
        </w:tabs>
        <w:rPr>
          <w:b/>
          <w:szCs w:val="22"/>
        </w:rPr>
      </w:pPr>
      <w:r>
        <w:rPr>
          <w:b/>
          <w:bCs/>
        </w:rPr>
        <w:t xml:space="preserve">Anno:5 - </w:t>
      </w:r>
      <w:r>
        <w:rPr>
          <w:b/>
          <w:szCs w:val="22"/>
        </w:rPr>
        <w:t>Gli Stati moderni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65"/>
        <w:gridCol w:w="7652"/>
        <w:gridCol w:w="4113"/>
      </w:tblGrid>
      <w:tr>
        <w:trPr/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 Stato e i suoi elementi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 Stato come ente originario;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riconoscimento internazionale degli Stati.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territorio dello Stato</w:t>
            </w:r>
          </w:p>
        </w:tc>
        <w:tc>
          <w:tcPr>
            <w:tcW w:w="76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normativo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descrivere i concetti di stato comunità, apparato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e saper descrivere gli elementi costitutivi dello Stato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i caratteri dello Stato moderno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indicare i modi di acquisizione della cittadinanza italiana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descrivere la condizione giuridica dello straniero</w:t>
            </w:r>
          </w:p>
          <w:p>
            <w:pPr>
              <w:pStyle w:val="Normal"/>
              <w:ind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Definizione di Stato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Stato apparato e Stato comunità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elementi costitutivi dello Stato:  sovranità, popolo e territorio.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 Stato come ente originario;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riconoscimento internazionale degli Stati.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territorio dello Stato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Il popolo di uno Stato. La cittadinanza e le sue modalità di acquisizione; estradizione e diritto d’asilo; cittadinanza,etnia e nazionalità;</w:t>
            </w:r>
          </w:p>
        </w:tc>
      </w:tr>
      <w:tr>
        <w:trPr>
          <w:trHeight w:val="1474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Normal"/>
        <w:tabs>
          <w:tab w:val="clear" w:pos="708"/>
          <w:tab w:val="left" w:pos="720" w:leader="none"/>
        </w:tabs>
        <w:rPr>
          <w:b/>
        </w:rPr>
      </w:pPr>
      <w:r>
        <w:rPr>
          <w:b/>
          <w:bCs/>
        </w:rPr>
        <w:t xml:space="preserve">Anno:5 - </w:t>
      </w:r>
      <w:r>
        <w:rPr>
          <w:b/>
        </w:rPr>
        <w:t>Forme di Stato e Forme di Governo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65"/>
        <w:gridCol w:w="7652"/>
        <w:gridCol w:w="4113"/>
      </w:tblGrid>
      <w:tr>
        <w:trPr/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Forma di Stato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Forma di governo</w:t>
            </w:r>
          </w:p>
          <w:p>
            <w:pPr>
              <w:pStyle w:val="PlainText"/>
              <w:widowControl w:val="false"/>
              <w:numPr>
                <w:ilvl w:val="0"/>
                <w:numId w:val="1"/>
              </w:numPr>
              <w:ind w:hanging="147" w:left="147" w:right="472"/>
              <w:jc w:val="both"/>
              <w:rPr>
                <w:rFonts w:ascii="Times New Roman" w:hAnsi="Times New Roman" w:eastAsia="SimSun" w:cs="Mangal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eastAsia="SimSun" w:cs="Mangal" w:ascii="Times New Roman" w:hAnsi="Times New Roman"/>
                <w:kern w:val="2"/>
                <w:sz w:val="16"/>
                <w:szCs w:val="16"/>
                <w:lang w:eastAsia="zh-CN" w:bidi="hi-IN"/>
              </w:rPr>
              <w:t>Le forme di governo degli stati democratici:</w:t>
            </w:r>
          </w:p>
          <w:p>
            <w:pPr>
              <w:pStyle w:val="PlainText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360" w:leader="none"/>
              </w:tabs>
              <w:ind w:hanging="147" w:left="147" w:right="472"/>
              <w:jc w:val="both"/>
              <w:rPr>
                <w:rFonts w:ascii="Times New Roman" w:hAnsi="Times New Roman" w:eastAsia="SimSun" w:cs="Mangal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eastAsia="SimSun" w:cs="Mangal" w:ascii="Times New Roman" w:hAnsi="Times New Roman"/>
                <w:kern w:val="2"/>
                <w:sz w:val="16"/>
                <w:szCs w:val="16"/>
                <w:lang w:eastAsia="zh-CN" w:bidi="hi-IN"/>
              </w:rPr>
              <w:t>Evoluzione storica delle forme di governo</w:t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6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normativo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individuare la differenza tra stato-comunità e stato-apparato e saper definire il rapporto fra stato e società civile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descrivere i vari modi in cui la sovranità si può articolare sul territorio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individuare le strutture essenziali della forma-stato italiana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le diverse forme di governo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descrivere l’attuale forma di governo italiana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illustrare le differenze tra le diverse forme di governo negli ordinamenti giuridici contemporanei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illustrare l’evoluzione storica delle forme di governo.</w:t>
            </w:r>
          </w:p>
          <w:p>
            <w:pPr>
              <w:pStyle w:val="Normal"/>
              <w:ind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Definizione di forma di Stato e di forma di governo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Forme di Stato: la ripartizione della sovranità sul territorio: Stati unitari, stati federali e stati regionali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jc w:val="both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Forme di Stato: il rapporto tra lo stato apparato e il popolo: Stati democratici e stati non democratici</w:t>
            </w:r>
          </w:p>
          <w:p>
            <w:pPr>
              <w:pStyle w:val="PlainText"/>
              <w:widowControl w:val="false"/>
              <w:numPr>
                <w:ilvl w:val="0"/>
                <w:numId w:val="1"/>
              </w:numPr>
              <w:ind w:hanging="147" w:left="147" w:right="472"/>
              <w:jc w:val="both"/>
              <w:rPr>
                <w:rFonts w:ascii="Times New Roman" w:hAnsi="Times New Roman" w:eastAsia="SimSun" w:cs="Mangal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eastAsia="SimSun" w:cs="Mangal" w:ascii="Times New Roman" w:hAnsi="Times New Roman"/>
                <w:kern w:val="2"/>
                <w:sz w:val="16"/>
                <w:szCs w:val="16"/>
                <w:lang w:eastAsia="zh-CN" w:bidi="hi-IN"/>
              </w:rPr>
              <w:t>Le forme di governo degli stati democratici: Governi parlamentari, Governi presidenziali e Governi semipresidenziali: confronto tra il sistema italiano, statunitense, francese, spagnolo e inglese.</w:t>
            </w:r>
          </w:p>
          <w:p>
            <w:pPr>
              <w:pStyle w:val="PlainText"/>
              <w:widowControl w:val="false"/>
              <w:numPr>
                <w:ilvl w:val="0"/>
                <w:numId w:val="1"/>
              </w:numPr>
              <w:tabs>
                <w:tab w:val="clear" w:pos="708"/>
                <w:tab w:val="left" w:pos="360" w:leader="none"/>
              </w:tabs>
              <w:ind w:hanging="147" w:left="147" w:right="472"/>
              <w:jc w:val="both"/>
              <w:rPr>
                <w:rFonts w:ascii="Times New Roman" w:hAnsi="Times New Roman" w:eastAsia="SimSun" w:cs="Mangal"/>
                <w:kern w:val="2"/>
                <w:sz w:val="16"/>
                <w:szCs w:val="16"/>
                <w:lang w:eastAsia="zh-CN" w:bidi="hi-IN"/>
              </w:rPr>
            </w:pPr>
            <w:r>
              <w:rPr>
                <w:rFonts w:eastAsia="SimSun" w:cs="Mangal" w:ascii="Times New Roman" w:hAnsi="Times New Roman"/>
                <w:kern w:val="2"/>
                <w:sz w:val="16"/>
                <w:szCs w:val="16"/>
                <w:lang w:eastAsia="zh-CN" w:bidi="hi-IN"/>
              </w:rPr>
              <w:t>Evoluzione storica delle forme di governo</w:t>
            </w:r>
          </w:p>
          <w:p>
            <w:pPr>
              <w:pStyle w:val="Normal"/>
              <w:ind w:left="147" w:right="472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</w:r>
          </w:p>
        </w:tc>
      </w:tr>
      <w:tr>
        <w:trPr>
          <w:trHeight w:val="1474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Normal"/>
        <w:tabs>
          <w:tab w:val="clear" w:pos="708"/>
          <w:tab w:val="left" w:pos="720" w:leader="none"/>
        </w:tabs>
        <w:rPr>
          <w:b/>
          <w:bCs/>
        </w:rPr>
      </w:pPr>
      <w:r>
        <w:rPr>
          <w:b/>
          <w:bCs/>
        </w:rPr>
        <w:t xml:space="preserve">Anno:5 - L’Ordinamento Internazionale 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65"/>
        <w:gridCol w:w="7652"/>
        <w:gridCol w:w="4113"/>
      </w:tblGrid>
      <w:tr>
        <w:trPr/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Dimensione internazionale e sovranazionale e la disciplina mondiale del commercio.</w:t>
            </w:r>
          </w:p>
          <w:p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Le relazioni internazionali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fonti del diritto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Repubblica italiana e l’ordinamento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grandi organizzazioni internazionali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organizzazioni non governative</w:t>
            </w:r>
          </w:p>
        </w:tc>
        <w:tc>
          <w:tcPr>
            <w:tcW w:w="76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normativo nazionale, comunitario e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definire i caratteri delle relazioni internazionali.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descrivere le principali fonti del diritto internazionale.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i principi contenuti negli articoli 10 e 11 della Costituzione.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Saper indicare le finalità delle principali organizzazioni internazionali</w:t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relazioni internazionali e le fonti del diritto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Repubblica italiana e l’ordinamento internazionale: principi costituzionali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Regioni italiane e il diritto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L’Italia e la guerra (art. 11 Cost)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Le grandi organizzazioni internazionali: ONU, NATO, Corte penale internazionale, OCSE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Le organizzazioni non governative</w:t>
            </w:r>
          </w:p>
        </w:tc>
      </w:tr>
      <w:tr>
        <w:trPr>
          <w:trHeight w:val="1474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Normal"/>
        <w:tabs>
          <w:tab w:val="clear" w:pos="708"/>
          <w:tab w:val="left" w:pos="720" w:leader="none"/>
        </w:tabs>
        <w:rPr>
          <w:b/>
          <w:bCs/>
        </w:rPr>
      </w:pPr>
      <w:r>
        <w:rPr>
          <w:b/>
          <w:bCs/>
        </w:rPr>
        <w:t xml:space="preserve">Anno:5 – I diritti umani 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65"/>
        <w:gridCol w:w="7652"/>
        <w:gridCol w:w="4113"/>
      </w:tblGrid>
      <w:tr>
        <w:trPr/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Convenzione europea per i diritti dell’uomo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Consiglio d’Europa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Corte di Strasburgo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Trattati finalizzati alla tutela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6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normativo nazionale, comunitario e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definire i diritti umani.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l’importanza dei diritti umani quali fondamenti della convivenza sociale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l’importanza del diritto internazionale al fine di garantire la convivenza pacifica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i principali contenuti della Convenzione europea per i diritti dell’uomo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descrivere ruolo del Consiglio d’Europa e della Corte di Strasburgo nella difesa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indicare i principali trattati finalizzati alla tutela dei diritti umani</w:t>
            </w:r>
          </w:p>
          <w:p>
            <w:pPr>
              <w:pStyle w:val="Normal"/>
              <w:ind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Definizione di </w:t>
            </w:r>
            <w:r>
              <w:rPr>
                <w:i/>
                <w:sz w:val="16"/>
                <w:szCs w:val="16"/>
              </w:rPr>
              <w:t>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riconoscimento e la tutela dei diritti umani nella Costituzione della Repubblica italiana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Convenzione europea per i diritti dell’uomo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L’Onu e la tutela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Funzioni e competenze del Consiglio d’Europa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Funzioni e competenze della Corte di Strasburgo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Altri Trattati finalizzati alla tutela dei diritti umani (Carta africana; Convenzione americana, Carta asiatica)</w:t>
            </w:r>
          </w:p>
        </w:tc>
      </w:tr>
      <w:tr>
        <w:trPr>
          <w:trHeight w:val="1474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>
          <w:b/>
          <w:bCs/>
        </w:rPr>
      </w:pPr>
      <w:r>
        <w:rPr>
          <w:b/>
          <w:bCs/>
        </w:rPr>
      </w:r>
      <w:r>
        <w:br w:type="page"/>
      </w:r>
    </w:p>
    <w:p>
      <w:pPr>
        <w:pStyle w:val="Normal"/>
        <w:widowControl/>
        <w:suppressAutoHyphens w:val="false"/>
        <w:spacing w:before="0" w:after="0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Normal"/>
        <w:tabs>
          <w:tab w:val="clear" w:pos="708"/>
          <w:tab w:val="left" w:pos="720" w:leader="none"/>
        </w:tabs>
        <w:rPr>
          <w:rFonts w:ascii="Arial Narrow" w:hAnsi="Arial Narrow"/>
        </w:rPr>
      </w:pPr>
      <w:r>
        <w:rPr>
          <w:b/>
          <w:bCs/>
        </w:rPr>
        <w:t>Anno:5 - L’Unione Europea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65"/>
        <w:gridCol w:w="7652"/>
        <w:gridCol w:w="4113"/>
      </w:tblGrid>
      <w:tr>
        <w:trPr/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Dimensione internazionale e sovranazionale e la disciplina mondiale del commercio.</w:t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L’Unione Europea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tappe dell’integrazione europea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organi dell’Unione Europea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politiche comuni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fonti del diritto europeo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carta dei diritti fondamentali dell’UE</w:t>
            </w:r>
          </w:p>
        </w:tc>
        <w:tc>
          <w:tcPr>
            <w:tcW w:w="76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normativo nazionale e comunitario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indicare le principali finalità dell’Unione Europea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comprendere e saper individuare le diverse istituzioni della Comunità europea e le loro specifiche competenze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riconoscere le fonti del diritto comunitario, sapendole rapportare all'ordinamento giuridico italiano</w:t>
            </w:r>
          </w:p>
          <w:p>
            <w:pPr>
              <w:pStyle w:val="Normal"/>
              <w:ind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Caratteri dell’Unione Europea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tappe dell’integrazione europea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l’accordo di Schengen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organi dell’unione: Consiglio europeo Consiglio dei Ministri dell’U.E., Parlamento europeo, Commissione europea, Corte di Giustizia europea.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politiche comuni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fonti del diritto europeo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La carta dei diritti fondamentali dell’UE</w:t>
            </w:r>
          </w:p>
        </w:tc>
      </w:tr>
      <w:tr>
        <w:trPr>
          <w:trHeight w:val="1474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Normal"/>
        <w:tabs>
          <w:tab w:val="clear" w:pos="708"/>
          <w:tab w:val="left" w:pos="720" w:leader="none"/>
        </w:tabs>
        <w:rPr>
          <w:rFonts w:ascii="Arial Narrow" w:hAnsi="Arial Narrow"/>
        </w:rPr>
      </w:pPr>
      <w:r>
        <w:rPr>
          <w:b/>
          <w:bCs/>
        </w:rPr>
        <w:t>Anno:5 - Le Controversie tra Stati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65"/>
        <w:gridCol w:w="7652"/>
        <w:gridCol w:w="4113"/>
      </w:tblGrid>
      <w:tr>
        <w:trPr/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Dimensione internazionale e sovranazionale e la disciplina mondiale del commercio.</w:t>
            </w:r>
          </w:p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Ruolo della Corte Internazionale di giustizia nella risoluzione di controversie in ambito contrattuale.</w:t>
            </w:r>
          </w:p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Arbitrato commerciale internazionale</w:t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controversie tra gli Stati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risoluzione pacifica delle controversie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ricorso all’autotutela pacifica e l’uso della forza armata</w:t>
            </w:r>
          </w:p>
        </w:tc>
        <w:tc>
          <w:tcPr>
            <w:tcW w:w="76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normativo nazionale, comunitario e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il concetto di “controversia internazionale”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Spiegare come si può risolvere una controversia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Definire le funzione della Corte internazionale di giustizia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possibili soluzioni di controversie internazionali in ambito commerciale</w:t>
            </w:r>
          </w:p>
          <w:p>
            <w:pPr>
              <w:pStyle w:val="Normal"/>
              <w:ind w:left="147" w:right="472"/>
              <w:textAlignment w:val="auto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controversie tra gli Stati: nozione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risoluzione pacifica delle controversie: la negoziazione e il ricorso alla Corte internazionale di Giustizia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Il ricorso all’autotutela pacifica e l’uso della forza armata</w:t>
            </w:r>
          </w:p>
        </w:tc>
      </w:tr>
      <w:tr>
        <w:trPr>
          <w:trHeight w:val="1474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Normal"/>
        <w:tabs>
          <w:tab w:val="clear" w:pos="708"/>
          <w:tab w:val="left" w:pos="720" w:leader="none"/>
        </w:tabs>
        <w:rPr>
          <w:rFonts w:ascii="Arial Narrow" w:hAnsi="Arial Narrow"/>
        </w:rPr>
      </w:pPr>
      <w:r>
        <w:rPr>
          <w:b/>
          <w:bCs/>
        </w:rPr>
        <w:t>Anno:5 - L’Organizzazione Mondiale del Commercio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65"/>
        <w:gridCol w:w="7652"/>
        <w:gridCol w:w="4113"/>
      </w:tblGrid>
      <w:tr>
        <w:trPr/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Dimensione internazionale e sovranazionale e la disciplina mondiale del commercio.</w:t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L’OMC (WTO)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GATT e GATS</w:t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76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normativo nazionale, comunitario e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le funzioni dell’OMC e delle regole contenute negli accordi sulla libera circolazione delle merci e dei servizi (GATT e GATS)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Illustrare i principio di non discriminazione e la Clausola della Nazione più favorita</w:t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L’OMC (WTO)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GATT e GATS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Principio di non discriminazione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Clausola della Nazione più favorita</w:t>
            </w:r>
          </w:p>
        </w:tc>
      </w:tr>
      <w:tr>
        <w:trPr>
          <w:trHeight w:val="1474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Normal"/>
        <w:tabs>
          <w:tab w:val="clear" w:pos="708"/>
          <w:tab w:val="left" w:pos="720" w:leader="none"/>
        </w:tabs>
        <w:rPr>
          <w:rFonts w:ascii="Arial Narrow" w:hAnsi="Arial Narrow"/>
        </w:rPr>
      </w:pPr>
      <w:r>
        <w:rPr>
          <w:b/>
          <w:bCs/>
        </w:rPr>
        <w:t>Anno:5 - I contratti commerciali internazionali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65"/>
        <w:gridCol w:w="7652"/>
        <w:gridCol w:w="4113"/>
      </w:tblGrid>
      <w:tr>
        <w:trPr/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Dimensione internazionale e sovranazionale e la disciplina mondiale del commercio.</w:t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Contratti nazionali e internazionali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questione della legge applicabile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foro competente  a risolvere le controversie relative all’adempimento di contratti internazionali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Principi e clausole</w:t>
            </w:r>
          </w:p>
        </w:tc>
        <w:tc>
          <w:tcPr>
            <w:tcW w:w="76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normativo nazionale, comunitario e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gli elementi essenziali di un contratto internazionale</w:t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Contratti nazionali e internazionali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questione della legge applicabile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foro competente  a risolvere le controversie relative all’adempimento di contratti internazionali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problema della lingua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clausole contrattuali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principio  di reciprocità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La clausola </w:t>
            </w:r>
            <w:r>
              <w:rPr>
                <w:i/>
                <w:sz w:val="16"/>
                <w:szCs w:val="16"/>
              </w:rPr>
              <w:t>hardship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 clausola penale</w:t>
            </w:r>
          </w:p>
        </w:tc>
      </w:tr>
      <w:tr>
        <w:trPr>
          <w:trHeight w:val="1474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Normal"/>
        <w:tabs>
          <w:tab w:val="clear" w:pos="708"/>
          <w:tab w:val="left" w:pos="720" w:leader="none"/>
        </w:tabs>
        <w:rPr>
          <w:rFonts w:ascii="Arial Narrow" w:hAnsi="Arial Narrow"/>
        </w:rPr>
      </w:pPr>
      <w:r>
        <w:rPr>
          <w:b/>
          <w:bCs/>
        </w:rPr>
        <w:t>Anno:5 - La vendita internazionale e contratti collegati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65"/>
        <w:gridCol w:w="7652"/>
        <w:gridCol w:w="4113"/>
      </w:tblGrid>
      <w:tr>
        <w:trPr/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Dimensione internazionale e sovranazionale e la disciplina mondiale del commercio.</w:t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contratto di vendita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principali regole della convenzione di Vienna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incoterms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trasporto di merci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contratto di spedizione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pratiche doganali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acquisti online</w:t>
            </w:r>
          </w:p>
        </w:tc>
        <w:tc>
          <w:tcPr>
            <w:tcW w:w="76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normativo nazionale, comunitario e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Riconoscere gli elementi essenziali di un contratto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Conoscere le principali regole che disciplinano il contratto di vendita internazionale e le Convenzioni che disciplinano le diverse modalità di trasporto internazionale delle merci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Conoscere le normative applicabili ai principali contratti internazionali commerciali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riconoscere gli elementi essenziali di un determinato tipo di contratto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individuare il contratto internazionale idoneo a regolare una situazione data</w:t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contratto di vendita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principali regole della convenzione di Vienna: formazione del contratto, obblighi del venditore e dell’acquirente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Gli </w:t>
            </w:r>
            <w:r>
              <w:rPr>
                <w:i/>
                <w:sz w:val="16"/>
                <w:szCs w:val="16"/>
              </w:rPr>
              <w:t>incoterms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trasporto di merci nel diritto italiano e nel diritto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Il contratto di spedizione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pratiche doganali nella vendita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Gli acquisti online</w:t>
            </w:r>
          </w:p>
        </w:tc>
      </w:tr>
      <w:tr>
        <w:trPr>
          <w:trHeight w:val="1474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/>
      </w:pPr>
      <w:r>
        <w:rPr/>
      </w:r>
      <w:r>
        <w:br w:type="page"/>
      </w:r>
    </w:p>
    <w:p>
      <w:pPr>
        <w:pStyle w:val="Standard"/>
        <w:suppressAutoHyphens w:val="true"/>
        <w:spacing w:lineRule="auto" w:line="360" w:before="0"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DIPARTIMENTO DI DISCIPLINE GIURIDICO ECONOMICHE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INDIRIZZO – ARTICOLAZIONE: AMMINISTRAZIONE FINANZA E MARKETING – RIM</w:t>
      </w:r>
    </w:p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MATERIA: DIRITTO</w:t>
      </w:r>
    </w:p>
    <w:tbl>
      <w:tblPr>
        <w:tblW w:w="11175" w:type="dxa"/>
        <w:jc w:val="left"/>
        <w:tblInd w:w="10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16"/>
        <w:gridCol w:w="288"/>
        <w:gridCol w:w="1490"/>
        <w:gridCol w:w="3150"/>
        <w:gridCol w:w="276"/>
        <w:gridCol w:w="1167"/>
        <w:gridCol w:w="2190"/>
        <w:gridCol w:w="296"/>
      </w:tblGrid>
      <w:tr>
        <w:trPr/>
        <w:tc>
          <w:tcPr>
            <w:tcW w:w="2316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1490" w:type="dxa"/>
            <w:tcBorders/>
          </w:tcPr>
          <w:p>
            <w:pPr>
              <w:pStyle w:val="Contenutotabella"/>
              <w:rPr/>
            </w:pPr>
            <w:r>
              <w:rPr/>
            </w:r>
          </w:p>
        </w:tc>
        <w:tc>
          <w:tcPr>
            <w:tcW w:w="315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cs="Arial" w:ascii="Arial" w:hAnsi="Arial"/>
                <w:b/>
                <w:sz w:val="36"/>
                <w:szCs w:val="36"/>
              </w:rPr>
            </w:r>
          </w:p>
        </w:tc>
        <w:tc>
          <w:tcPr>
            <w:tcW w:w="1167" w:type="dxa"/>
            <w:tcBorders/>
          </w:tcPr>
          <w:p>
            <w:pPr>
              <w:pStyle w:val="Contenutotabella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</w:tc>
        <w:tc>
          <w:tcPr>
            <w:tcW w:w="2190" w:type="dxa"/>
            <w:tcBorders/>
          </w:tcPr>
          <w:p>
            <w:pPr>
              <w:pStyle w:val="Standard"/>
              <w:suppressAutoHyphens w:val="true"/>
              <w:spacing w:lineRule="auto" w:line="36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QUINTO ANNO</w:t>
            </w:r>
          </w:p>
        </w:tc>
        <w:tc>
          <w:tcPr>
            <w:tcW w:w="2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/>
            </w:pPr>
            <w:r>
              <w:rPr>
                <w:rFonts w:cs="Arial" w:ascii="Arial" w:hAnsi="Arial"/>
                <w:b/>
                <w:sz w:val="36"/>
                <w:szCs w:val="36"/>
              </w:rPr>
              <w:t>X</w:t>
            </w:r>
          </w:p>
        </w:tc>
      </w:tr>
    </w:tbl>
    <w:p>
      <w:pPr>
        <w:pStyle w:val="Standard"/>
        <w:suppressAutoHyphens w:val="true"/>
        <w:spacing w:lineRule="auto" w:line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Anno:5 - </w:t>
      </w:r>
      <w:r>
        <w:rPr>
          <w:rFonts w:eastAsia="SimSun" w:cs="Mangal"/>
          <w:b/>
          <w:bCs/>
          <w:sz w:val="24"/>
          <w:szCs w:val="24"/>
          <w:lang w:bidi="hi-IN"/>
        </w:rPr>
        <w:t>La tutela del consumatore nella normativa europea</w:t>
      </w:r>
    </w:p>
    <w:tbl>
      <w:tblPr>
        <w:tblW w:w="14430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2665"/>
        <w:gridCol w:w="7652"/>
        <w:gridCol w:w="4113"/>
      </w:tblGrid>
      <w:tr>
        <w:trPr/>
        <w:tc>
          <w:tcPr>
            <w:tcW w:w="2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7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ABILITA'</w:t>
            </w:r>
          </w:p>
        </w:tc>
        <w:tc>
          <w:tcPr>
            <w:tcW w:w="4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>
        <w:trPr>
          <w:trHeight w:val="1829" w:hRule="atLeast"/>
        </w:trPr>
        <w:tc>
          <w:tcPr>
            <w:tcW w:w="266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Dimensione internazionale e sovranazionale e la disciplina mondiale del commercio.</w:t>
            </w:r>
          </w:p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</w:r>
          </w:p>
          <w:p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sz w:val="18"/>
                <w:szCs w:val="18"/>
              </w:rPr>
              <w:t>Normativa a tutela dei consumatori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contratti per adesione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Contratti a distanza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norme internazionali a tutela del consumatore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garanzie contro le pratiche commerciali scorrette.</w:t>
            </w:r>
          </w:p>
        </w:tc>
        <w:tc>
          <w:tcPr>
            <w:tcW w:w="765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autonomamente le norme nel sistema normativo nazionale, comunitario e internazionale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Ricercare le norme relative a una categoria di argomenti e individuare le parti che afferiscono ad una precisa fattispecie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la normativa applicata per la risoluzione di controversie commerciali caratterizzate da elementi di internazionalità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Reperire le norme nazionali ed internazionali utili alla tutela del consumatore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Saper definire che cosa sono i contratti per adesione e che cosa sono i contratti a distanza , individuandone le parti.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le principali disposizioni a tutela dei consumatori che sottoscrivono le tipologie di contratto sopra citate: obbligo d’informazione e di diritto di recesso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Riportare i contenuti delle principali norme internazionali poste a tutela dei consumatori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Indicare le garanzie poste per contrastare le pratiche commerciali scorrette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Indicare le finalità e le modalità di partecipazione a una </w:t>
            </w:r>
            <w:r>
              <w:rPr>
                <w:i/>
                <w:sz w:val="16"/>
                <w:szCs w:val="16"/>
              </w:rPr>
              <w:t>class action</w:t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  <w:p>
            <w:pPr>
              <w:pStyle w:val="Normal"/>
              <w:ind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  <w:tc>
          <w:tcPr>
            <w:tcW w:w="41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contratti per adesione a distanza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 norme internazionali a tutela del consumatore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 garanzie contro le pratiche commerciali scorrette; la </w:t>
            </w:r>
            <w:r>
              <w:rPr>
                <w:i/>
                <w:sz w:val="16"/>
                <w:szCs w:val="16"/>
              </w:rPr>
              <w:t xml:space="preserve">class action: </w:t>
            </w:r>
            <w:r>
              <w:rPr>
                <w:sz w:val="16"/>
                <w:szCs w:val="16"/>
              </w:rPr>
              <w:t>definizione, finalità e modalità di partecipazione</w:t>
            </w:r>
          </w:p>
        </w:tc>
      </w:tr>
      <w:tr>
        <w:trPr>
          <w:trHeight w:val="1474" w:hRule="atLeast"/>
        </w:trPr>
        <w:tc>
          <w:tcPr>
            <w:tcW w:w="144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andard"/>
              <w:suppressAutoHyphens w:val="true"/>
              <w:snapToGrid w:val="false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COMPETENZE: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Valutare fatti ed orientare i propri comportamenti in base ad un sistema di valori coerenti con i principi della costituzione e con le carte internazionali dei diritti umani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Utilizzare le reti e gli strumenti informatici nelle attività di studio, ricerca e approfondimento disciplinare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Analizzare il valore, i limiti e i rischi delle varie soluzioni tecniche per la vita sociale e culturale con particolare attenzione alla sicurezza dei luoghi di vita e di lavoro, alla tutela della persona, dell'ambiente e del territorio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Redigere relazioni tecniche e documentare le attività individuali e di gruppo relative a situazioni professionali</w:t>
            </w:r>
          </w:p>
          <w:p>
            <w:pPr>
              <w:pStyle w:val="Normal"/>
              <w:numPr>
                <w:ilvl w:val="0"/>
                <w:numId w:val="1"/>
              </w:numPr>
              <w:ind w:hanging="147" w:left="147" w:right="472"/>
              <w:textAlignment w:val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Individuare e accedere alla normativa pubblicistica, civilistica e fiscale con particolare riferimento alle attività aziendali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suppressAutoHyphens w:val="false"/>
        <w:textAlignment w:val="auto"/>
        <w:rPr/>
      </w:pPr>
      <w:r>
        <w:rPr/>
      </w:r>
    </w:p>
    <w:p>
      <w:pPr>
        <w:pStyle w:val="Normal"/>
        <w:widowControl/>
        <w:suppressAutoHyphens w:val="false"/>
        <w:textAlignment w:val="auto"/>
        <w:rPr>
          <w:rFonts w:eastAsia="Times New Roman" w:cs="Times New Roman"/>
          <w:b/>
          <w:bCs/>
          <w:lang w:bidi="ar-SA"/>
        </w:rPr>
      </w:pPr>
      <w:r>
        <w:rPr>
          <w:rFonts w:eastAsia="Times New Roman" w:cs="Times New Roman"/>
          <w:b/>
          <w:bCs/>
          <w:lang w:bidi="ar-SA"/>
        </w:rPr>
      </w:r>
    </w:p>
    <w:sectPr>
      <w:type w:val="nextPage"/>
      <w:pgSz w:orient="landscape" w:w="16838" w:h="11906"/>
      <w:pgMar w:left="1134" w:right="1134" w:gutter="0" w:header="0" w:top="141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Calibri">
    <w:altName w:val=" 'Century Gothic'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Narrow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6"/>
        <w:szCs w:val="16"/>
      </w:rPr>
    </w:lvl>
    <w:lvl w:ilvl="1">
      <w:start w:val="0"/>
      <w:numFmt w:val="bullet"/>
      <w:lvlText w:val="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hyphenationZone w:val="283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Mangal"/>
        <w:lang w:val="it-IT" w:eastAsia="it-IT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Plain Text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a37d2"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Mangal"/>
      <w:color w:val="auto"/>
      <w:kern w:val="2"/>
      <w:sz w:val="24"/>
      <w:szCs w:val="24"/>
      <w:lang w:val="it-IT" w:eastAsia="zh-CN" w:bidi="hi-IN"/>
    </w:rPr>
  </w:style>
  <w:style w:type="paragraph" w:styleId="Heading1" w:customStyle="1">
    <w:name w:val="heading 1"/>
    <w:basedOn w:val="Standard"/>
    <w:next w:val="Standard"/>
    <w:qFormat/>
    <w:rsid w:val="001d654b"/>
    <w:pPr>
      <w:keepNext w:val="true"/>
      <w:outlineLvl w:val="0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4z0" w:customStyle="1">
    <w:name w:val="WW8Num4z0"/>
    <w:qFormat/>
    <w:rsid w:val="001d654b"/>
    <w:rPr>
      <w:b w:val="false"/>
      <w:i w:val="false"/>
    </w:rPr>
  </w:style>
  <w:style w:type="character" w:styleId="WW8Num7z0" w:customStyle="1">
    <w:name w:val="WW8Num7z0"/>
    <w:qFormat/>
    <w:rsid w:val="001d654b"/>
    <w:rPr>
      <w:rFonts w:ascii="Symbol" w:hAnsi="Symbol"/>
    </w:rPr>
  </w:style>
  <w:style w:type="character" w:styleId="WW8Num7z1" w:customStyle="1">
    <w:name w:val="WW8Num7z1"/>
    <w:qFormat/>
    <w:rsid w:val="001d654b"/>
    <w:rPr>
      <w:rFonts w:ascii="Times New Roman" w:hAnsi="Times New Roman" w:eastAsia="Times New Roman" w:cs="Times New Roman"/>
    </w:rPr>
  </w:style>
  <w:style w:type="character" w:styleId="WW8Num7z2" w:customStyle="1">
    <w:name w:val="WW8Num7z2"/>
    <w:qFormat/>
    <w:rsid w:val="001d654b"/>
    <w:rPr>
      <w:rFonts w:ascii="Wingdings" w:hAnsi="Wingdings"/>
    </w:rPr>
  </w:style>
  <w:style w:type="character" w:styleId="WW8Num7z4" w:customStyle="1">
    <w:name w:val="WW8Num7z4"/>
    <w:qFormat/>
    <w:rsid w:val="001d654b"/>
    <w:rPr>
      <w:rFonts w:ascii="Courier New" w:hAnsi="Courier New" w:cs="Courier New"/>
    </w:rPr>
  </w:style>
  <w:style w:type="character" w:styleId="WW8Num10z0" w:customStyle="1">
    <w:name w:val="WW8Num10z0"/>
    <w:qFormat/>
    <w:rsid w:val="001d654b"/>
    <w:rPr>
      <w:rFonts w:ascii="Symbol" w:hAnsi="Symbol"/>
    </w:rPr>
  </w:style>
  <w:style w:type="character" w:styleId="WW8Num10z1" w:customStyle="1">
    <w:name w:val="WW8Num10z1"/>
    <w:qFormat/>
    <w:rsid w:val="001d654b"/>
    <w:rPr>
      <w:rFonts w:ascii="Times New Roman" w:hAnsi="Times New Roman" w:eastAsia="Times New Roman" w:cs="Times New Roman"/>
    </w:rPr>
  </w:style>
  <w:style w:type="character" w:styleId="WW8Num14z0" w:customStyle="1">
    <w:name w:val="WW8Num14z0"/>
    <w:qFormat/>
    <w:rsid w:val="001d654b"/>
    <w:rPr>
      <w:b w:val="false"/>
      <w:i w:val="false"/>
    </w:rPr>
  </w:style>
  <w:style w:type="character" w:styleId="WW8Num17z0" w:customStyle="1">
    <w:name w:val="WW8Num17z0"/>
    <w:qFormat/>
    <w:rsid w:val="001d654b"/>
    <w:rPr>
      <w:rFonts w:ascii="Symbol" w:hAnsi="Symbol"/>
    </w:rPr>
  </w:style>
  <w:style w:type="character" w:styleId="WW8Num17z1" w:customStyle="1">
    <w:name w:val="WW8Num17z1"/>
    <w:qFormat/>
    <w:rsid w:val="001d654b"/>
    <w:rPr>
      <w:rFonts w:ascii="Courier New" w:hAnsi="Courier New" w:cs="Courier New"/>
    </w:rPr>
  </w:style>
  <w:style w:type="character" w:styleId="WW8Num17z2" w:customStyle="1">
    <w:name w:val="WW8Num17z2"/>
    <w:qFormat/>
    <w:rsid w:val="001d654b"/>
    <w:rPr>
      <w:rFonts w:ascii="Wingdings" w:hAnsi="Wingdings"/>
    </w:rPr>
  </w:style>
  <w:style w:type="character" w:styleId="WW8Num19z0" w:customStyle="1">
    <w:name w:val="WW8Num19z0"/>
    <w:qFormat/>
    <w:rsid w:val="001d654b"/>
    <w:rPr>
      <w:rFonts w:ascii="Symbol" w:hAnsi="Symbol"/>
    </w:rPr>
  </w:style>
  <w:style w:type="character" w:styleId="WW8Num19z1" w:customStyle="1">
    <w:name w:val="WW8Num19z1"/>
    <w:qFormat/>
    <w:rsid w:val="001d654b"/>
    <w:rPr>
      <w:rFonts w:ascii="Times New Roman" w:hAnsi="Times New Roman" w:eastAsia="Times New Roman" w:cs="Times New Roman"/>
    </w:rPr>
  </w:style>
  <w:style w:type="character" w:styleId="WW8Num19z2" w:customStyle="1">
    <w:name w:val="WW8Num19z2"/>
    <w:qFormat/>
    <w:rsid w:val="001d654b"/>
    <w:rPr>
      <w:rFonts w:ascii="Wingdings" w:hAnsi="Wingdings"/>
    </w:rPr>
  </w:style>
  <w:style w:type="character" w:styleId="WW8Num19z4" w:customStyle="1">
    <w:name w:val="WW8Num19z4"/>
    <w:qFormat/>
    <w:rsid w:val="001d654b"/>
    <w:rPr>
      <w:rFonts w:ascii="Courier New" w:hAnsi="Courier New" w:cs="Courier New"/>
    </w:rPr>
  </w:style>
  <w:style w:type="character" w:styleId="WW8Num27z0" w:customStyle="1">
    <w:name w:val="WW8Num27z0"/>
    <w:qFormat/>
    <w:rsid w:val="001d654b"/>
    <w:rPr>
      <w:b w:val="false"/>
      <w:i w:val="false"/>
    </w:rPr>
  </w:style>
  <w:style w:type="character" w:styleId="WW8Num31z0" w:customStyle="1">
    <w:name w:val="WW8Num31z0"/>
    <w:qFormat/>
    <w:rsid w:val="001d654b"/>
    <w:rPr>
      <w:b w:val="false"/>
      <w:i w:val="false"/>
    </w:rPr>
  </w:style>
  <w:style w:type="character" w:styleId="WW8Num32z0" w:customStyle="1">
    <w:name w:val="WW8Num32z0"/>
    <w:qFormat/>
    <w:rsid w:val="001d654b"/>
    <w:rPr>
      <w:rFonts w:ascii="Symbol" w:hAnsi="Symbol"/>
    </w:rPr>
  </w:style>
  <w:style w:type="character" w:styleId="WW8Num32z2" w:customStyle="1">
    <w:name w:val="WW8Num32z2"/>
    <w:qFormat/>
    <w:rsid w:val="001d654b"/>
    <w:rPr>
      <w:rFonts w:ascii="Wingdings" w:hAnsi="Wingdings"/>
    </w:rPr>
  </w:style>
  <w:style w:type="character" w:styleId="WW8Num32z4" w:customStyle="1">
    <w:name w:val="WW8Num32z4"/>
    <w:qFormat/>
    <w:rsid w:val="001d654b"/>
    <w:rPr>
      <w:rFonts w:ascii="Courier New" w:hAnsi="Courier New" w:cs="Courier New"/>
    </w:rPr>
  </w:style>
  <w:style w:type="character" w:styleId="WW8Num33z0" w:customStyle="1">
    <w:name w:val="WW8Num33z0"/>
    <w:qFormat/>
    <w:rsid w:val="001d654b"/>
    <w:rPr>
      <w:b w:val="false"/>
      <w:i w:val="false"/>
    </w:rPr>
  </w:style>
  <w:style w:type="character" w:styleId="grame" w:customStyle="1">
    <w:name w:val="grame"/>
    <w:basedOn w:val="DefaultParagraphFont"/>
    <w:qFormat/>
    <w:rsid w:val="001d654b"/>
    <w:rPr/>
  </w:style>
  <w:style w:type="character" w:styleId="spelle" w:customStyle="1">
    <w:name w:val="spelle"/>
    <w:basedOn w:val="DefaultParagraphFont"/>
    <w:qFormat/>
    <w:rsid w:val="001d654b"/>
    <w:rPr/>
  </w:style>
  <w:style w:type="character" w:styleId="FootnoteSymbol" w:customStyle="1">
    <w:name w:val="Footnote Symbol"/>
    <w:basedOn w:val="DefaultParagraphFont"/>
    <w:qFormat/>
    <w:rsid w:val="001d654b"/>
    <w:rPr>
      <w:vertAlign w:val="superscript"/>
    </w:rPr>
  </w:style>
  <w:style w:type="character" w:styleId="CarattereCarattere1" w:customStyle="1">
    <w:name w:val="Carattere Carattere1"/>
    <w:basedOn w:val="DefaultParagraphFont"/>
    <w:qFormat/>
    <w:rsid w:val="001d654b"/>
    <w:rPr>
      <w:rFonts w:ascii="Calibri, 'Century Gothic'" w:hAnsi="Calibri, 'Century Gothic'" w:eastAsia="Calibri, 'Century Gothic'"/>
      <w:sz w:val="22"/>
      <w:szCs w:val="22"/>
      <w:lang w:val="it-IT" w:bidi="ar-SA"/>
    </w:rPr>
  </w:style>
  <w:style w:type="character" w:styleId="TestonormaleCarattere" w:customStyle="1">
    <w:name w:val="Testo normale Carattere"/>
    <w:basedOn w:val="DefaultParagraphFont"/>
    <w:link w:val="PlainText"/>
    <w:qFormat/>
    <w:rsid w:val="00b8573e"/>
    <w:rPr>
      <w:rFonts w:ascii="Courier New" w:hAnsi="Courier New" w:eastAsia="Times New Roman" w:cs="Courier New"/>
    </w:rPr>
  </w:style>
  <w:style w:type="character" w:styleId="CorpodeltestoCarattere" w:customStyle="1">
    <w:name w:val="Corpo del testo Carattere"/>
    <w:basedOn w:val="DefaultParagraphFont"/>
    <w:qFormat/>
    <w:rsid w:val="00336bf9"/>
    <w:rPr>
      <w:rFonts w:eastAsia="Times New Roman" w:cs="Times New Roman"/>
      <w:sz w:val="24"/>
      <w:szCs w:val="24"/>
      <w:lang w:eastAsia="ar-SA"/>
    </w:rPr>
  </w:style>
  <w:style w:type="paragraph" w:styleId="Titolo" w:customStyle="1">
    <w:name w:val="Titolo"/>
    <w:basedOn w:val="Standard"/>
    <w:next w:val="Textbody"/>
    <w:qFormat/>
    <w:rsid w:val="001d654b"/>
    <w:pPr>
      <w:keepNext w:val="true"/>
      <w:spacing w:before="240" w:after="120"/>
    </w:pPr>
    <w:rPr>
      <w:rFonts w:ascii="Arial" w:hAnsi="Arial" w:eastAsia="SimSun" w:cs="Mangal"/>
      <w:sz w:val="28"/>
      <w:szCs w:val="28"/>
    </w:rPr>
  </w:style>
  <w:style w:type="paragraph" w:styleId="BodyText">
    <w:name w:val="Body Text"/>
    <w:basedOn w:val="Normal"/>
    <w:link w:val="CorpodeltestoCarattere"/>
    <w:rsid w:val="00336bf9"/>
    <w:pPr>
      <w:widowControl/>
      <w:spacing w:before="0" w:after="120"/>
      <w:textAlignment w:val="auto"/>
    </w:pPr>
    <w:rPr>
      <w:rFonts w:eastAsia="Times New Roman" w:cs="Times New Roman"/>
      <w:kern w:val="0"/>
      <w:lang w:eastAsia="ar-SA" w:bidi="ar-SA"/>
    </w:rPr>
  </w:style>
  <w:style w:type="paragraph" w:styleId="List">
    <w:name w:val="List"/>
    <w:basedOn w:val="Textbody"/>
    <w:rsid w:val="001d654b"/>
    <w:pPr/>
    <w:rPr>
      <w:rFonts w:cs="Mangal"/>
    </w:rPr>
  </w:style>
  <w:style w:type="paragraph" w:styleId="Caption" w:customStyle="1">
    <w:name w:val="caption"/>
    <w:basedOn w:val="Standard"/>
    <w:qFormat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 w:customStyle="1">
    <w:name w:val="Indice"/>
    <w:basedOn w:val="Standard"/>
    <w:qFormat/>
    <w:rsid w:val="001d654b"/>
    <w:pPr>
      <w:suppressLineNumbers/>
    </w:pPr>
    <w:rPr>
      <w:rFonts w:cs="Mangal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iceuser">
    <w:name w:val="Indice (user)"/>
    <w:basedOn w:val="Normal"/>
    <w:qFormat/>
    <w:pPr>
      <w:suppressLineNumbers/>
    </w:pPr>
    <w:rPr>
      <w:rFonts w:cs="Lucida Sans"/>
    </w:rPr>
  </w:style>
  <w:style w:type="paragraph" w:styleId="Standard" w:customStyle="1">
    <w:name w:val="Standard"/>
    <w:qFormat/>
    <w:rsid w:val="001d654b"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it-IT" w:eastAsia="zh-CN" w:bidi="ar-SA"/>
    </w:rPr>
  </w:style>
  <w:style w:type="paragraph" w:styleId="Textbody" w:customStyle="1">
    <w:name w:val="Text body"/>
    <w:basedOn w:val="Standard"/>
    <w:qFormat/>
    <w:rsid w:val="001d654b"/>
    <w:pPr/>
    <w:rPr>
      <w:caps/>
      <w:sz w:val="24"/>
    </w:rPr>
  </w:style>
  <w:style w:type="paragraph" w:styleId="Footnote" w:customStyle="1">
    <w:name w:val="Footnote"/>
    <w:basedOn w:val="Standard"/>
    <w:qFormat/>
    <w:rsid w:val="001d654b"/>
    <w:pPr/>
    <w:rPr/>
  </w:style>
  <w:style w:type="paragraph" w:styleId="ListParagraph">
    <w:name w:val="List Paragraph"/>
    <w:basedOn w:val="Standard"/>
    <w:uiPriority w:val="34"/>
    <w:qFormat/>
    <w:rsid w:val="001d654b"/>
    <w:pPr>
      <w:spacing w:lineRule="auto" w:line="276" w:before="0" w:after="200"/>
      <w:ind w:left="720"/>
    </w:pPr>
    <w:rPr>
      <w:rFonts w:ascii="Calibri, 'Century Gothic'" w:hAnsi="Calibri, 'Century Gothic'" w:eastAsia="Calibri, 'Century Gothic'"/>
      <w:sz w:val="22"/>
      <w:szCs w:val="22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epidipaginauser">
    <w:name w:val="Intestazione e piè di pagina (user)"/>
    <w:basedOn w:val="Normal"/>
    <w:qFormat/>
    <w:pPr/>
    <w:rPr/>
  </w:style>
  <w:style w:type="paragraph" w:styleId="Header" w:customStyle="1">
    <w:name w:val="header"/>
    <w:basedOn w:val="Standard"/>
    <w:rsid w:val="001d654b"/>
    <w:pPr>
      <w:tabs>
        <w:tab w:val="clear" w:pos="708"/>
        <w:tab w:val="center" w:pos="4819" w:leader="none"/>
        <w:tab w:val="right" w:pos="9638" w:leader="none"/>
      </w:tabs>
    </w:pPr>
    <w:rPr>
      <w:rFonts w:ascii="Calibri, 'Century Gothic'" w:hAnsi="Calibri, 'Century Gothic'" w:eastAsia="Calibri, 'Century Gothic'"/>
      <w:sz w:val="22"/>
      <w:szCs w:val="22"/>
    </w:rPr>
  </w:style>
  <w:style w:type="paragraph" w:styleId="Footer" w:customStyle="1">
    <w:name w:val="footer"/>
    <w:basedOn w:val="Standard"/>
    <w:rsid w:val="001d654b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Contenutotabella" w:customStyle="1">
    <w:name w:val="Contenuto tabella"/>
    <w:basedOn w:val="Standard"/>
    <w:qFormat/>
    <w:rsid w:val="001d654b"/>
    <w:pPr>
      <w:suppressLineNumbers/>
    </w:pPr>
    <w:rPr/>
  </w:style>
  <w:style w:type="paragraph" w:styleId="Titolotabella" w:customStyle="1">
    <w:name w:val="Titolo tabella"/>
    <w:basedOn w:val="Contenutotabella"/>
    <w:qFormat/>
    <w:rsid w:val="001d654b"/>
    <w:pPr>
      <w:jc w:val="center"/>
    </w:pPr>
    <w:rPr>
      <w:b/>
      <w:bCs/>
    </w:rPr>
  </w:style>
  <w:style w:type="paragraph" w:styleId="PlainText">
    <w:name w:val="Plain Text"/>
    <w:basedOn w:val="Normal"/>
    <w:link w:val="TestonormaleCarattere"/>
    <w:qFormat/>
    <w:rsid w:val="00b8573e"/>
    <w:pPr>
      <w:widowControl/>
      <w:suppressAutoHyphens w:val="false"/>
      <w:textAlignment w:val="auto"/>
    </w:pPr>
    <w:rPr>
      <w:rFonts w:ascii="Courier New" w:hAnsi="Courier New" w:eastAsia="Times New Roman" w:cs="Courier New"/>
      <w:kern w:val="0"/>
      <w:sz w:val="20"/>
      <w:szCs w:val="20"/>
      <w:lang w:eastAsia="it-IT" w:bidi="ar-SA"/>
    </w:rPr>
  </w:style>
  <w:style w:type="paragraph" w:styleId="Default" w:customStyle="1">
    <w:name w:val="Default"/>
    <w:qFormat/>
    <w:rsid w:val="00336bf9"/>
    <w:pPr>
      <w:widowControl/>
      <w:suppressAutoHyphens w:val="true"/>
      <w:bidi w:val="0"/>
      <w:spacing w:before="0" w:after="0"/>
      <w:jc w:val="left"/>
    </w:pPr>
    <w:rPr>
      <w:rFonts w:ascii="Arial Narrow" w:hAnsi="Arial Narrow" w:eastAsia="SimSun" w:cs="Arial Narrow"/>
      <w:color w:val="000000"/>
      <w:kern w:val="0"/>
      <w:sz w:val="24"/>
      <w:szCs w:val="24"/>
      <w:lang w:val="it-IT" w:eastAsia="it-IT" w:bidi="ar-SA"/>
    </w:rPr>
  </w:style>
  <w:style w:type="numbering" w:styleId="Nessunelenco" w:default="1">
    <w:name w:val="Nessun elenco"/>
    <w:uiPriority w:val="99"/>
    <w:semiHidden/>
    <w:unhideWhenUsed/>
    <w:qFormat/>
  </w:style>
  <w:style w:type="numbering" w:styleId="WW8Num1" w:customStyle="1">
    <w:name w:val="WW8Num1"/>
    <w:qFormat/>
    <w:rsid w:val="001d654b"/>
  </w:style>
  <w:style w:type="numbering" w:styleId="WW8Num2" w:customStyle="1">
    <w:name w:val="WW8Num2"/>
    <w:qFormat/>
    <w:rsid w:val="001d654b"/>
  </w:style>
  <w:style w:type="numbering" w:styleId="WW8Num3" w:customStyle="1">
    <w:name w:val="WW8Num3"/>
    <w:qFormat/>
    <w:rsid w:val="001d654b"/>
  </w:style>
  <w:style w:type="numbering" w:styleId="WW8Num4" w:customStyle="1">
    <w:name w:val="WW8Num4"/>
    <w:qFormat/>
    <w:rsid w:val="001d654b"/>
  </w:style>
  <w:style w:type="numbering" w:styleId="WW8Num5" w:customStyle="1">
    <w:name w:val="WW8Num5"/>
    <w:qFormat/>
    <w:rsid w:val="001d654b"/>
  </w:style>
  <w:style w:type="numbering" w:styleId="WW8Num6" w:customStyle="1">
    <w:name w:val="WW8Num6"/>
    <w:qFormat/>
    <w:rsid w:val="001d654b"/>
  </w:style>
  <w:style w:type="numbering" w:styleId="WW8Num7" w:customStyle="1">
    <w:name w:val="WW8Num7"/>
    <w:qFormat/>
    <w:rsid w:val="001d654b"/>
  </w:style>
  <w:style w:type="numbering" w:styleId="WW8Num8" w:customStyle="1">
    <w:name w:val="WW8Num8"/>
    <w:qFormat/>
    <w:rsid w:val="001d654b"/>
  </w:style>
  <w:style w:type="numbering" w:styleId="WW8Num9" w:customStyle="1">
    <w:name w:val="WW8Num9"/>
    <w:qFormat/>
    <w:rsid w:val="001d654b"/>
  </w:style>
  <w:style w:type="numbering" w:styleId="WW8Num10" w:customStyle="1">
    <w:name w:val="WW8Num10"/>
    <w:qFormat/>
    <w:rsid w:val="001d654b"/>
  </w:style>
  <w:style w:type="numbering" w:styleId="WW8Num11" w:customStyle="1">
    <w:name w:val="WW8Num11"/>
    <w:qFormat/>
    <w:rsid w:val="001d654b"/>
  </w:style>
  <w:style w:type="numbering" w:styleId="WW8Num12" w:customStyle="1">
    <w:name w:val="WW8Num12"/>
    <w:qFormat/>
    <w:rsid w:val="001d654b"/>
  </w:style>
  <w:style w:type="numbering" w:styleId="WW8Num13" w:customStyle="1">
    <w:name w:val="WW8Num13"/>
    <w:qFormat/>
    <w:rsid w:val="001d654b"/>
  </w:style>
  <w:style w:type="numbering" w:styleId="WW8Num14" w:customStyle="1">
    <w:name w:val="WW8Num14"/>
    <w:qFormat/>
    <w:rsid w:val="001d654b"/>
  </w:style>
  <w:style w:type="numbering" w:styleId="WW8Num15" w:customStyle="1">
    <w:name w:val="WW8Num15"/>
    <w:qFormat/>
    <w:rsid w:val="001d654b"/>
  </w:style>
  <w:style w:type="numbering" w:styleId="WW8Num16" w:customStyle="1">
    <w:name w:val="WW8Num16"/>
    <w:qFormat/>
    <w:rsid w:val="001d654b"/>
  </w:style>
  <w:style w:type="numbering" w:styleId="WW8Num17" w:customStyle="1">
    <w:name w:val="WW8Num17"/>
    <w:qFormat/>
    <w:rsid w:val="001d654b"/>
  </w:style>
  <w:style w:type="numbering" w:styleId="WW8Num18" w:customStyle="1">
    <w:name w:val="WW8Num18"/>
    <w:qFormat/>
    <w:rsid w:val="001d654b"/>
  </w:style>
  <w:style w:type="numbering" w:styleId="WW8Num19" w:customStyle="1">
    <w:name w:val="WW8Num19"/>
    <w:qFormat/>
    <w:rsid w:val="001d654b"/>
  </w:style>
  <w:style w:type="numbering" w:styleId="WW8Num20" w:customStyle="1">
    <w:name w:val="WW8Num20"/>
    <w:qFormat/>
    <w:rsid w:val="001d654b"/>
  </w:style>
  <w:style w:type="numbering" w:styleId="WW8Num21" w:customStyle="1">
    <w:name w:val="WW8Num21"/>
    <w:qFormat/>
    <w:rsid w:val="001d654b"/>
  </w:style>
  <w:style w:type="numbering" w:styleId="WW8Num22" w:customStyle="1">
    <w:name w:val="WW8Num22"/>
    <w:qFormat/>
    <w:rsid w:val="001d654b"/>
  </w:style>
  <w:style w:type="numbering" w:styleId="WW8Num23" w:customStyle="1">
    <w:name w:val="WW8Num23"/>
    <w:qFormat/>
    <w:rsid w:val="001d654b"/>
  </w:style>
  <w:style w:type="numbering" w:styleId="WW8Num24" w:customStyle="1">
    <w:name w:val="WW8Num24"/>
    <w:qFormat/>
    <w:rsid w:val="001d654b"/>
  </w:style>
  <w:style w:type="numbering" w:styleId="WW8Num25" w:customStyle="1">
    <w:name w:val="WW8Num25"/>
    <w:qFormat/>
    <w:rsid w:val="001d654b"/>
  </w:style>
  <w:style w:type="numbering" w:styleId="WW8Num26" w:customStyle="1">
    <w:name w:val="WW8Num26"/>
    <w:qFormat/>
    <w:rsid w:val="001d654b"/>
  </w:style>
  <w:style w:type="numbering" w:styleId="WW8Num27" w:customStyle="1">
    <w:name w:val="WW8Num27"/>
    <w:qFormat/>
    <w:rsid w:val="001d654b"/>
  </w:style>
  <w:style w:type="numbering" w:styleId="WW8Num28" w:customStyle="1">
    <w:name w:val="WW8Num28"/>
    <w:qFormat/>
    <w:rsid w:val="001d654b"/>
  </w:style>
  <w:style w:type="numbering" w:styleId="WW8Num29" w:customStyle="1">
    <w:name w:val="WW8Num29"/>
    <w:qFormat/>
    <w:rsid w:val="001d654b"/>
  </w:style>
  <w:style w:type="numbering" w:styleId="WW8Num30" w:customStyle="1">
    <w:name w:val="WW8Num30"/>
    <w:qFormat/>
    <w:rsid w:val="001d654b"/>
  </w:style>
  <w:style w:type="numbering" w:styleId="WW8Num31" w:customStyle="1">
    <w:name w:val="WW8Num31"/>
    <w:qFormat/>
    <w:rsid w:val="001d654b"/>
  </w:style>
  <w:style w:type="numbering" w:styleId="WW8Num32" w:customStyle="1">
    <w:name w:val="WW8Num32"/>
    <w:qFormat/>
    <w:rsid w:val="001d654b"/>
  </w:style>
  <w:style w:type="numbering" w:styleId="WW8Num33" w:customStyle="1">
    <w:name w:val="WW8Num33"/>
    <w:qFormat/>
    <w:rsid w:val="001d654b"/>
  </w:style>
  <w:style w:type="numbering" w:styleId="WW8Num34" w:customStyle="1">
    <w:name w:val="WW8Num34"/>
    <w:qFormat/>
    <w:rsid w:val="001d654b"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7" Type="http://schemas.openxmlformats.org/officeDocument/2006/relationships/customXml" Target="../customXml/item2.xml"/><Relationship Id="rId8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798AE2E55D44A43CF14EAD5FCEE9" ma:contentTypeVersion="4" ma:contentTypeDescription="Creare un nuovo documento." ma:contentTypeScope="" ma:versionID="b96201f9ec1c74e597e936ac01bac3cc">
  <xsd:schema xmlns:xsd="http://www.w3.org/2001/XMLSchema" xmlns:xs="http://www.w3.org/2001/XMLSchema" xmlns:p="http://schemas.microsoft.com/office/2006/metadata/properties" xmlns:ns2="1adc6868-9c2d-4dc2-9627-50f187ed1126" targetNamespace="http://schemas.microsoft.com/office/2006/metadata/properties" ma:root="true" ma:fieldsID="8887cfaef00ee8b9a47c5dc62fce7b95" ns2:_="">
    <xsd:import namespace="1adc6868-9c2d-4dc2-9627-50f187ed112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dc6868-9c2d-4dc2-9627-50f187ed11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4B77861-8DB2-4D80-B2F4-2EB589C7AA2D}"/>
</file>

<file path=customXml/itemProps2.xml><?xml version="1.0" encoding="utf-8"?>
<ds:datastoreItem xmlns:ds="http://schemas.openxmlformats.org/officeDocument/2006/customXml" ds:itemID="{5471C68F-314E-4413-9434-C9119355CC4C}"/>
</file>

<file path=customXml/itemProps3.xml><?xml version="1.0" encoding="utf-8"?>
<ds:datastoreItem xmlns:ds="http://schemas.openxmlformats.org/officeDocument/2006/customXml" ds:itemID="{3ECD6813-A7CF-4117-84C0-6A634298636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Application>LibreOffice/25.2.2.2$Windows_X86_64 LibreOffice_project/7370d4be9e3cf6031a51beef54ff3bda878e3fac</Application>
  <AppVersion>15.0000</AppVersion>
  <Pages>22</Pages>
  <Words>8557</Words>
  <Characters>50275</Characters>
  <CharactersWithSpaces>57423</CharactersWithSpaces>
  <Paragraphs>870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2012-04-29T22:26:00Z</dcterms:created>
  <dc:creator>Snoopy</dc:creator>
  <dc:description/>
  <dc:language>it-IT</dc:language>
  <cp:lastModifiedBy/>
  <cp:lastPrinted>2012-03-02T17:21:00Z</cp:lastPrinted>
  <dcterms:modified xsi:type="dcterms:W3CDTF">2025-04-22T13:04:56Z</dcterms:modified>
  <cp:revision>23</cp:revision>
  <dc:subject/>
  <dc:title>Anno scolastico 2004-2005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0x0101009744798AE2E55D44A43CF14EAD5FCEE9</vt:lpwstr>
  </property>
</Properties>
</file>