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0C" w:rsidRPr="00F00421" w:rsidRDefault="000C110C" w:rsidP="000C110C">
      <w:pPr>
        <w:spacing w:after="0" w:line="240" w:lineRule="auto"/>
        <w:rPr>
          <w:rFonts w:ascii="Arial Unicode MS" w:eastAsia="Arial Unicode MS" w:hAnsi="Arial Unicode MS" w:cs="Times New Roman"/>
          <w:bCs/>
          <w:sz w:val="20"/>
          <w:szCs w:val="20"/>
          <w:highlight w:val="yellow"/>
          <w:lang w:eastAsia="it-IT"/>
        </w:rPr>
      </w:pPr>
    </w:p>
    <w:p w:rsidR="00021FC4" w:rsidRPr="00F00421" w:rsidRDefault="00021FC4" w:rsidP="00021FC4">
      <w:pPr>
        <w:spacing w:after="0" w:line="240" w:lineRule="auto"/>
        <w:rPr>
          <w:rFonts w:ascii="Arial Unicode MS" w:eastAsia="Arial Unicode MS" w:hAnsi="Arial Unicode MS" w:cs="Times New Roman"/>
          <w:bCs/>
          <w:sz w:val="20"/>
          <w:szCs w:val="20"/>
          <w:highlight w:val="yellow"/>
          <w:lang w:eastAsia="it-IT"/>
        </w:rPr>
      </w:pPr>
    </w:p>
    <w:p w:rsidR="00021FC4" w:rsidRPr="00F00421" w:rsidRDefault="00021FC4" w:rsidP="00021F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lang w:eastAsia="ar-SA"/>
        </w:rPr>
      </w:pPr>
      <w:r w:rsidRPr="00F00421">
        <w:rPr>
          <w:rFonts w:ascii="Arial Unicode MS" w:eastAsia="Arial Unicode MS" w:hAnsi="Arial Unicode MS" w:cs="Arial Unicode MS"/>
          <w:b/>
          <w:lang w:eastAsia="ar-SA"/>
        </w:rPr>
        <w:t>Corsi di studio in Farmacia</w:t>
      </w:r>
    </w:p>
    <w:p w:rsidR="00021FC4" w:rsidRPr="00AA0597" w:rsidRDefault="00021FC4" w:rsidP="00021FC4">
      <w:pPr>
        <w:spacing w:after="0" w:line="240" w:lineRule="auto"/>
        <w:rPr>
          <w:rFonts w:ascii="Arial Unicode MS" w:eastAsia="Arial Unicode MS" w:hAnsi="Arial Unicode MS" w:cs="Times New Roman"/>
          <w:sz w:val="20"/>
          <w:szCs w:val="20"/>
          <w:lang w:eastAsia="it-IT"/>
        </w:rPr>
      </w:pPr>
    </w:p>
    <w:p w:rsidR="00021FC4" w:rsidRPr="00AA0597" w:rsidRDefault="00021FC4" w:rsidP="00021FC4">
      <w:pPr>
        <w:suppressAutoHyphens/>
        <w:spacing w:before="120" w:after="0" w:line="240" w:lineRule="auto"/>
        <w:jc w:val="both"/>
        <w:rPr>
          <w:rFonts w:ascii="Arial Unicode MS" w:eastAsia="Arial Unicode MS" w:hAnsi="Arial Unicode MS" w:cs="Arial Unicode MS"/>
          <w:sz w:val="20"/>
          <w:szCs w:val="24"/>
          <w:lang w:eastAsia="ar-SA"/>
        </w:rPr>
      </w:pPr>
      <w:r w:rsidRPr="00AA0597">
        <w:rPr>
          <w:rFonts w:ascii="Arial Unicode MS" w:eastAsia="Arial Unicode MS" w:hAnsi="Arial Unicode MS" w:cs="Arial Unicode MS"/>
          <w:b/>
          <w:sz w:val="20"/>
          <w:szCs w:val="24"/>
          <w:lang w:eastAsia="ar-SA"/>
        </w:rPr>
        <w:t>Referente:</w:t>
      </w:r>
      <w:r w:rsidRPr="00AA0597">
        <w:rPr>
          <w:rFonts w:ascii="Arial Unicode MS" w:eastAsia="Arial Unicode MS" w:hAnsi="Arial Unicode MS" w:cs="Arial Unicode MS"/>
          <w:sz w:val="20"/>
          <w:szCs w:val="24"/>
          <w:lang w:eastAsia="ar-SA"/>
        </w:rPr>
        <w:t xml:space="preserve"> prof. Chiara Beatrice Vicentini,</w:t>
      </w:r>
      <w:r w:rsidRPr="00AA0597">
        <w:rPr>
          <w:rFonts w:ascii="Arial Unicode MS" w:eastAsia="Arial Unicode MS" w:hAnsi="Courier New" w:cs="Arial Unicode MS"/>
          <w:sz w:val="20"/>
          <w:szCs w:val="24"/>
          <w:lang w:eastAsia="ar-SA"/>
        </w:rPr>
        <w:t xml:space="preserve"> Via Fossato di Mortara 17/19</w:t>
      </w:r>
      <w:r w:rsidRPr="00AA0597">
        <w:rPr>
          <w:rFonts w:ascii="Arial Unicode MS" w:eastAsia="Arial Unicode MS" w:hAnsi="Arial Unicode MS" w:cs="Arial Unicode MS"/>
          <w:sz w:val="20"/>
          <w:szCs w:val="24"/>
          <w:lang w:eastAsia="ar-SA"/>
        </w:rPr>
        <w:t xml:space="preserve">, e-mail: </w:t>
      </w:r>
      <w:r w:rsidRPr="00AA0597">
        <w:rPr>
          <w:rFonts w:ascii="Arial Unicode MS" w:eastAsia="Arial Unicode MS" w:hAnsi="Arial Unicode MS" w:cs="Arial Unicode MS"/>
          <w:sz w:val="20"/>
          <w:szCs w:val="20"/>
          <w:lang w:eastAsia="ar-SA"/>
        </w:rPr>
        <w:t>vcc@unife.it</w:t>
      </w:r>
    </w:p>
    <w:p w:rsidR="00021FC4" w:rsidRPr="00AA0597" w:rsidRDefault="00021FC4" w:rsidP="00021FC4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ar-SA"/>
        </w:rPr>
      </w:pPr>
    </w:p>
    <w:p w:rsidR="00021FC4" w:rsidRPr="00AA0597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4"/>
          <w:lang w:eastAsia="ar-SA"/>
        </w:rPr>
      </w:pPr>
      <w:r w:rsidRPr="00AA0597">
        <w:rPr>
          <w:rFonts w:ascii="Arial Unicode MS" w:eastAsia="Arial Unicode MS" w:hAnsi="Arial Unicode MS" w:cs="Arial Unicode MS"/>
          <w:sz w:val="20"/>
          <w:szCs w:val="24"/>
          <w:lang w:eastAsia="ar-SA"/>
        </w:rPr>
        <w:t>Il corso di studio in Farmacia offre due percorsi formativi:</w:t>
      </w:r>
    </w:p>
    <w:p w:rsidR="00021FC4" w:rsidRPr="00AA0597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4"/>
          <w:lang w:eastAsia="ar-SA"/>
        </w:rPr>
      </w:pPr>
      <w:r w:rsidRPr="00AA0597">
        <w:rPr>
          <w:rFonts w:ascii="Arial Unicode MS" w:eastAsia="Arial Unicode MS" w:hAnsi="Arial Unicode MS" w:cs="Arial Unicode MS"/>
          <w:sz w:val="20"/>
          <w:szCs w:val="24"/>
          <w:lang w:eastAsia="ar-SA"/>
        </w:rPr>
        <w:t>STAGE MULTIDISCIPLINARE O MONOTEMATICO DI APPROFONDIMENTO nelle materie Chimica Farmaceutica, Chimica Organica, Tecnologia Farmaceutica, Farmacologia, Biologia vegetale - Farmacognosia, Microbiologia, Biochimica, Chimica dei Prodotti della Salute, Storia della Farmacia e del Farmaco, etc.</w:t>
      </w:r>
    </w:p>
    <w:p w:rsidR="00021FC4" w:rsidRPr="00817AEA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817AEA">
        <w:rPr>
          <w:rFonts w:ascii="Arial Unicode MS" w:eastAsia="Arial Unicode MS" w:hAnsi="Arial Unicode MS" w:cs="Arial Unicode MS"/>
          <w:sz w:val="20"/>
          <w:szCs w:val="20"/>
          <w:lang w:eastAsia="ar-SA"/>
        </w:rPr>
        <w:t>- Presentazione delle varie discipline.</w:t>
      </w:r>
    </w:p>
    <w:p w:rsidR="00021FC4" w:rsidRPr="00817AEA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817AEA">
        <w:rPr>
          <w:rFonts w:ascii="Arial Unicode MS" w:eastAsia="Arial Unicode MS" w:hAnsi="Arial Unicode MS" w:cs="Arial Unicode MS"/>
          <w:sz w:val="20"/>
          <w:szCs w:val="20"/>
          <w:lang w:eastAsia="ar-SA"/>
        </w:rPr>
        <w:t>- Orientamento e sviluppo dell’aspetto sperimentale.</w:t>
      </w:r>
    </w:p>
    <w:p w:rsidR="00021FC4" w:rsidRPr="00AA0597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4"/>
          <w:lang w:eastAsia="it-IT"/>
        </w:rPr>
      </w:pPr>
      <w:r w:rsidRPr="00AA0597">
        <w:rPr>
          <w:rFonts w:ascii="Arial Unicode MS" w:eastAsia="Arial Unicode MS" w:hAnsi="Arial Unicode MS" w:cs="Arial Unicode MS"/>
          <w:sz w:val="20"/>
          <w:szCs w:val="24"/>
          <w:lang w:eastAsia="ar-SA"/>
        </w:rPr>
        <w:t>Con tali modalità lo studente nel corso di una settimana trascorre 5 giorni (4 h ciascuno) in un laboratorio o in 5 diversi laboratori nel periodo</w:t>
      </w:r>
      <w:r w:rsidRPr="00AA0597">
        <w:rPr>
          <w:rFonts w:ascii="Arial Unicode MS" w:eastAsia="Arial Unicode MS" w:hAnsi="Arial Unicode MS" w:cs="Arial Unicode MS"/>
          <w:sz w:val="20"/>
          <w:szCs w:val="24"/>
          <w:lang w:eastAsia="it-IT"/>
        </w:rPr>
        <w:t xml:space="preserve"> di marzo-aprile o giugno. </w:t>
      </w:r>
    </w:p>
    <w:p w:rsidR="00021FC4" w:rsidRPr="00AA0597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4"/>
          <w:lang w:eastAsia="ar-SA"/>
        </w:rPr>
      </w:pPr>
    </w:p>
    <w:p w:rsidR="00021FC4" w:rsidRPr="00AA0597" w:rsidRDefault="00021FC4" w:rsidP="00021FC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4"/>
          <w:lang w:eastAsia="ar-SA"/>
        </w:rPr>
      </w:pPr>
      <w:r w:rsidRPr="00AA0597">
        <w:rPr>
          <w:noProof/>
          <w:lang w:eastAsia="it-IT"/>
        </w:rPr>
        <w:drawing>
          <wp:inline distT="0" distB="0" distL="0" distR="0" wp14:anchorId="73BF7D1B" wp14:editId="142F6162">
            <wp:extent cx="4495800" cy="1587500"/>
            <wp:effectExtent l="0" t="0" r="0" b="1270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C4" w:rsidRPr="00AA0597" w:rsidRDefault="00021FC4" w:rsidP="00021FC4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4"/>
          <w:lang w:eastAsia="ar-SA"/>
        </w:rPr>
      </w:pPr>
      <w:r w:rsidRPr="00AA0597">
        <w:rPr>
          <w:noProof/>
          <w:lang w:eastAsia="it-IT"/>
        </w:rPr>
        <w:drawing>
          <wp:inline distT="0" distB="0" distL="0" distR="0" wp14:anchorId="78B7A7B8" wp14:editId="38AA23BF">
            <wp:extent cx="1574800" cy="1028700"/>
            <wp:effectExtent l="0" t="0" r="0" b="12700"/>
            <wp:docPr id="39" name="Immagine 3" descr="Capsule-compress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sule-compresse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597">
        <w:rPr>
          <w:noProof/>
          <w:lang w:eastAsia="it-IT"/>
        </w:rPr>
        <w:drawing>
          <wp:inline distT="0" distB="0" distL="0" distR="0" wp14:anchorId="722A316C" wp14:editId="57B6F0AC">
            <wp:extent cx="2400300" cy="1003300"/>
            <wp:effectExtent l="0" t="0" r="12700" b="12700"/>
            <wp:docPr id="4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C4" w:rsidRPr="00AA0597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4"/>
          <w:lang w:eastAsia="ar-SA"/>
        </w:rPr>
      </w:pPr>
    </w:p>
    <w:p w:rsidR="00021FC4" w:rsidRPr="00AA0597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4"/>
          <w:lang w:eastAsia="ar-SA"/>
        </w:rPr>
      </w:pPr>
      <w:r w:rsidRPr="00AA0597">
        <w:rPr>
          <w:rFonts w:ascii="Arial Unicode MS" w:eastAsia="Arial Unicode MS" w:hAnsi="Arial Unicode MS" w:cs="Arial Unicode MS"/>
          <w:sz w:val="20"/>
          <w:szCs w:val="24"/>
          <w:lang w:eastAsia="ar-SA"/>
        </w:rPr>
        <w:t>L’attività di stage presso i laboratori universitari ha l’obiettivo di avvicinare gli studenti agli aspetti sperimentali e alle tematiche di ricerca in campo chimico e biologico. Vengono realizzate opportune esperienze di laboratorio. Nel periodo è data inoltre possibilità di accedere anche a laboratori didattici e/o di assistere a lezioni frontali.</w:t>
      </w:r>
    </w:p>
    <w:p w:rsidR="00021FC4" w:rsidRPr="003731B1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4"/>
          <w:lang w:eastAsia="ar-SA"/>
        </w:rPr>
      </w:pPr>
      <w:r w:rsidRPr="00AA0597">
        <w:rPr>
          <w:rFonts w:ascii="Arial Unicode MS" w:eastAsia="Arial Unicode MS" w:hAnsi="Arial Unicode MS" w:cs="Arial Unicode MS"/>
          <w:sz w:val="20"/>
          <w:szCs w:val="24"/>
          <w:lang w:eastAsia="ar-SA"/>
        </w:rPr>
        <w:t>Lo studente può farsi così un'idea più precisa della formazione culturale che il corso di laurea è in grado di fornire, facilitando la sua scelta quando sarà il momento di definire il proprio percorso universitario.</w:t>
      </w:r>
    </w:p>
    <w:p w:rsidR="006375DE" w:rsidRDefault="006375DE" w:rsidP="00021FC4">
      <w:pPr>
        <w:spacing w:after="0" w:line="240" w:lineRule="auto"/>
        <w:jc w:val="both"/>
      </w:pPr>
    </w:p>
    <w:p w:rsidR="00021FC4" w:rsidRDefault="00021FC4" w:rsidP="00021FC4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lang w:eastAsia="it-IT"/>
        </w:rPr>
      </w:pPr>
    </w:p>
    <w:p w:rsidR="00021FC4" w:rsidRDefault="00021FC4" w:rsidP="00021FC4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lang w:eastAsia="it-IT"/>
        </w:rPr>
      </w:pPr>
    </w:p>
    <w:p w:rsidR="00021FC4" w:rsidRDefault="00021FC4" w:rsidP="00021FC4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lang w:eastAsia="it-IT"/>
        </w:rPr>
      </w:pPr>
    </w:p>
    <w:p w:rsidR="00021FC4" w:rsidRPr="00021FC4" w:rsidRDefault="00021FC4" w:rsidP="00021FC4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lang w:eastAsia="it-IT"/>
        </w:rPr>
      </w:pPr>
    </w:p>
    <w:p w:rsidR="00021FC4" w:rsidRDefault="00021FC4" w:rsidP="00021FC4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lang w:eastAsia="it-IT"/>
        </w:rPr>
      </w:pPr>
      <w:r>
        <w:rPr>
          <w:rFonts w:ascii="Arial Unicode MS" w:eastAsia="Arial Unicode MS" w:hAnsi="Arial Unicode MS" w:cs="Arial Unicode MS"/>
          <w:b/>
          <w:bCs/>
          <w:lang w:eastAsia="it-IT"/>
        </w:rPr>
        <w:lastRenderedPageBreak/>
        <w:t>Corsi</w:t>
      </w:r>
      <w:r w:rsidRPr="00F00421">
        <w:rPr>
          <w:rFonts w:ascii="Arial Unicode MS" w:eastAsia="Arial Unicode MS" w:hAnsi="Arial Unicode MS" w:cs="Arial Unicode MS"/>
          <w:b/>
          <w:bCs/>
          <w:lang w:eastAsia="it-IT"/>
        </w:rPr>
        <w:t xml:space="preserve"> di studio in Scienze Biologiche</w:t>
      </w:r>
      <w:r>
        <w:rPr>
          <w:rFonts w:ascii="Arial Unicode MS" w:eastAsia="Arial Unicode MS" w:hAnsi="Arial Unicode MS" w:cs="Arial Unicode MS"/>
          <w:b/>
          <w:bCs/>
          <w:lang w:eastAsia="it-IT"/>
        </w:rPr>
        <w:t xml:space="preserve"> e Biotecnologie</w:t>
      </w:r>
    </w:p>
    <w:p w:rsidR="00021FC4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lang w:eastAsia="it-IT"/>
        </w:rPr>
      </w:pPr>
    </w:p>
    <w:p w:rsidR="00021FC4" w:rsidRPr="00AA0597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lang w:eastAsia="it-IT"/>
        </w:rPr>
      </w:pPr>
      <w:r w:rsidRPr="00AA0597">
        <w:rPr>
          <w:rFonts w:ascii="Arial Unicode MS" w:eastAsia="Arial Unicode MS" w:hAnsi="Arial Unicode MS" w:cs="Arial Unicode MS"/>
          <w:b/>
          <w:bCs/>
          <w:sz w:val="20"/>
          <w:szCs w:val="20"/>
          <w:lang w:eastAsia="it-IT"/>
        </w:rPr>
        <w:t>Referente:</w:t>
      </w:r>
      <w:r w:rsidRPr="00AA0597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it-IT"/>
        </w:rPr>
        <w:t xml:space="preserve"> </w:t>
      </w:r>
      <w:r w:rsidR="00F0560C">
        <w:rPr>
          <w:rFonts w:ascii="Arial Unicode MS" w:eastAsia="Arial Unicode MS" w:hAnsi="Arial Unicode MS" w:cs="Arial Unicode MS"/>
          <w:sz w:val="20"/>
          <w:szCs w:val="20"/>
          <w:lang w:eastAsia="it-IT"/>
        </w:rPr>
        <w:t>dott.</w:t>
      </w:r>
      <w:r w:rsidRPr="00AA0597">
        <w:rPr>
          <w:rFonts w:ascii="Arial Unicode MS" w:eastAsia="Arial Unicode MS" w:hAnsi="Arial Unicode MS" w:cs="Arial Unicode MS" w:hint="eastAsia"/>
          <w:sz w:val="20"/>
          <w:szCs w:val="20"/>
          <w:lang w:eastAsia="it-IT"/>
        </w:rPr>
        <w:t xml:space="preserve"> </w:t>
      </w:r>
      <w:r w:rsidR="00F0560C">
        <w:rPr>
          <w:rFonts w:ascii="Arial Unicode MS" w:eastAsia="Arial Unicode MS" w:hAnsi="Arial Unicode MS" w:cs="Arial Unicode MS"/>
          <w:sz w:val="20"/>
          <w:szCs w:val="20"/>
          <w:lang w:eastAsia="it-IT"/>
        </w:rPr>
        <w:t>Marcello Baroni</w:t>
      </w:r>
      <w:r w:rsidRPr="00AA0597">
        <w:rPr>
          <w:rFonts w:ascii="Arial Unicode MS" w:eastAsia="Arial Unicode MS" w:hAnsi="Arial Unicode MS" w:cs="Arial Unicode MS" w:hint="eastAsia"/>
          <w:sz w:val="20"/>
          <w:szCs w:val="20"/>
          <w:lang w:eastAsia="it-IT"/>
        </w:rPr>
        <w:t>, Dip</w:t>
      </w: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>artimento di Scienze della Vita e Biotecnologie</w:t>
      </w:r>
      <w:r w:rsidRPr="00AA0597">
        <w:rPr>
          <w:rFonts w:ascii="Arial Unicode MS" w:eastAsia="Arial Unicode MS" w:hAnsi="Arial Unicode MS" w:cs="Arial Unicode MS" w:hint="eastAsia"/>
          <w:sz w:val="20"/>
          <w:szCs w:val="20"/>
          <w:lang w:eastAsia="it-IT"/>
        </w:rPr>
        <w:t>,</w:t>
      </w: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</w:t>
      </w:r>
      <w:r w:rsidR="00F0560C">
        <w:rPr>
          <w:rFonts w:ascii="Arial Unicode MS" w:eastAsia="Arial Unicode MS" w:hAnsi="Arial Unicode MS" w:cs="Arial Unicode MS"/>
          <w:sz w:val="20"/>
          <w:szCs w:val="20"/>
          <w:lang w:eastAsia="it-IT"/>
        </w:rPr>
        <w:t>Ex Macello</w:t>
      </w:r>
      <w:r w:rsidRPr="00AA0597">
        <w:rPr>
          <w:rFonts w:ascii="Arial Unicode MS" w:eastAsia="Arial Unicode MS" w:hAnsi="Arial Unicode MS" w:cs="Arial Unicode MS" w:hint="eastAsia"/>
          <w:sz w:val="20"/>
          <w:szCs w:val="20"/>
          <w:lang w:eastAsia="it-IT"/>
        </w:rPr>
        <w:t xml:space="preserve">, Via </w:t>
      </w:r>
      <w:r w:rsidR="00F0560C">
        <w:rPr>
          <w:rFonts w:ascii="Arial Unicode MS" w:eastAsia="Arial Unicode MS" w:hAnsi="Arial Unicode MS" w:cs="Arial Unicode MS"/>
          <w:sz w:val="20"/>
          <w:szCs w:val="20"/>
          <w:lang w:eastAsia="it-IT"/>
        </w:rPr>
        <w:t>Fossato di Mortara</w:t>
      </w:r>
      <w:r w:rsidRPr="00AA0597">
        <w:rPr>
          <w:rFonts w:ascii="Arial Unicode MS" w:eastAsia="Arial Unicode MS" w:hAnsi="Arial Unicode MS" w:cs="Arial Unicode MS" w:hint="eastAsia"/>
          <w:sz w:val="20"/>
          <w:szCs w:val="20"/>
          <w:lang w:eastAsia="it-IT"/>
        </w:rPr>
        <w:t xml:space="preserve"> </w:t>
      </w:r>
      <w:r w:rsidR="00F0560C">
        <w:rPr>
          <w:rFonts w:ascii="Arial Unicode MS" w:eastAsia="Arial Unicode MS" w:hAnsi="Arial Unicode MS" w:cs="Arial Unicode MS"/>
          <w:sz w:val="20"/>
          <w:szCs w:val="20"/>
          <w:lang w:eastAsia="it-IT"/>
        </w:rPr>
        <w:t>74</w:t>
      </w:r>
      <w:r w:rsidRPr="00AA0597">
        <w:rPr>
          <w:rFonts w:ascii="Arial Unicode MS" w:eastAsia="Arial Unicode MS" w:hAnsi="Arial Unicode MS" w:cs="Arial Unicode MS" w:hint="eastAsia"/>
          <w:sz w:val="20"/>
          <w:szCs w:val="20"/>
          <w:lang w:eastAsia="it-IT"/>
        </w:rPr>
        <w:t xml:space="preserve">, e-mail: </w:t>
      </w:r>
      <w:r w:rsidR="00F0560C">
        <w:rPr>
          <w:rFonts w:ascii="Arial Unicode MS" w:eastAsia="Arial Unicode MS" w:hAnsi="Arial Unicode MS" w:cs="Arial Unicode MS"/>
          <w:sz w:val="20"/>
          <w:szCs w:val="20"/>
          <w:lang w:eastAsia="it-IT"/>
        </w:rPr>
        <w:t>brnmcl</w:t>
      </w: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>@unife.it</w:t>
      </w:r>
    </w:p>
    <w:p w:rsidR="00021FC4" w:rsidRPr="00AA0597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it-IT"/>
        </w:rPr>
      </w:pP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Il corso di studio in Scienze Biologiche offre due percorsi formativi, in cui si approfondiscono le modalità di studio della materia vivente secondo un approccio morfo-funzionale o biologico-molecolare e cellulare; con tali modalità lo studente nel corso di una settimana trascorre 5 mattinate di 4 </w:t>
      </w:r>
      <w:r w:rsidR="00F0560C">
        <w:rPr>
          <w:rFonts w:ascii="Arial Unicode MS" w:eastAsia="Arial Unicode MS" w:hAnsi="Arial Unicode MS" w:cs="Arial Unicode MS"/>
          <w:sz w:val="20"/>
          <w:szCs w:val="20"/>
          <w:lang w:eastAsia="it-IT"/>
        </w:rPr>
        <w:t>ore</w:t>
      </w: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ciascuna in 5 diversi laboratori, in modo da constatare attraverso dimostrazioni sia teoriche</w:t>
      </w:r>
      <w:r w:rsidR="009136A9">
        <w:rPr>
          <w:rFonts w:ascii="Arial Unicode MS" w:eastAsia="Arial Unicode MS" w:hAnsi="Arial Unicode MS" w:cs="Arial Unicode MS"/>
          <w:sz w:val="20"/>
          <w:szCs w:val="20"/>
          <w:lang w:eastAsia="it-IT"/>
        </w:rPr>
        <w:t>,</w:t>
      </w: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</w:t>
      </w:r>
      <w:r w:rsidR="009136A9">
        <w:rPr>
          <w:rFonts w:ascii="Arial Unicode MS" w:eastAsia="Arial Unicode MS" w:hAnsi="Arial Unicode MS" w:cs="Arial Unicode MS"/>
          <w:sz w:val="20"/>
          <w:szCs w:val="20"/>
          <w:lang w:eastAsia="it-IT"/>
        </w:rPr>
        <w:t>sia</w:t>
      </w: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sperimentali</w:t>
      </w:r>
      <w:r w:rsidR="009136A9">
        <w:rPr>
          <w:rFonts w:ascii="Arial Unicode MS" w:eastAsia="Arial Unicode MS" w:hAnsi="Arial Unicode MS" w:cs="Arial Unicode MS"/>
          <w:sz w:val="20"/>
          <w:szCs w:val="20"/>
          <w:lang w:eastAsia="it-IT"/>
        </w:rPr>
        <w:t>,</w:t>
      </w: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come si possa affrontare lo studio dei diversi aspetti della biologia. Lo studente può farsi così un'idea </w:t>
      </w:r>
      <w:r w:rsidR="009136A9">
        <w:rPr>
          <w:rFonts w:ascii="Arial Unicode MS" w:eastAsia="Arial Unicode MS" w:hAnsi="Arial Unicode MS" w:cs="Arial Unicode MS"/>
          <w:sz w:val="20"/>
          <w:szCs w:val="20"/>
          <w:lang w:eastAsia="it-IT"/>
        </w:rPr>
        <w:t>maggiormente</w:t>
      </w: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precisa della formazione culturale che il corso di laurea è in grado di fornire, facilitando la </w:t>
      </w:r>
      <w:r w:rsidR="009136A9">
        <w:rPr>
          <w:rFonts w:ascii="Arial Unicode MS" w:eastAsia="Arial Unicode MS" w:hAnsi="Arial Unicode MS" w:cs="Arial Unicode MS"/>
          <w:sz w:val="20"/>
          <w:szCs w:val="20"/>
          <w:lang w:eastAsia="it-IT"/>
        </w:rPr>
        <w:t>propria</w:t>
      </w: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 xml:space="preserve"> scelta quando sarà il momento di definire il proprio percorso universitario.</w:t>
      </w:r>
    </w:p>
    <w:p w:rsidR="00021FC4" w:rsidRPr="00AA0597" w:rsidRDefault="00021FC4" w:rsidP="00021FC4">
      <w:pPr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  <w:lang w:eastAsia="it-IT"/>
        </w:rPr>
      </w:pPr>
    </w:p>
    <w:p w:rsidR="00021FC4" w:rsidRPr="00AA0597" w:rsidRDefault="00021FC4" w:rsidP="00021FC4">
      <w:pPr>
        <w:pStyle w:val="Paragrafoelenco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it-IT"/>
        </w:rPr>
      </w:pP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>Stage Area Biologico - molecolare e cellulare (1)</w:t>
      </w:r>
    </w:p>
    <w:tbl>
      <w:tblPr>
        <w:tblW w:w="5000" w:type="pct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000" w:firstRow="0" w:lastRow="0" w:firstColumn="0" w:lastColumn="0" w:noHBand="0" w:noVBand="0"/>
      </w:tblPr>
      <w:tblGrid>
        <w:gridCol w:w="1377"/>
        <w:gridCol w:w="1906"/>
        <w:gridCol w:w="4850"/>
        <w:gridCol w:w="1721"/>
      </w:tblGrid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Docenti</w:t>
            </w:r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Attività</w:t>
            </w:r>
          </w:p>
        </w:tc>
        <w:tc>
          <w:tcPr>
            <w:tcW w:w="873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Periodo</w:t>
            </w: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Biologia molecolare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Prof.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M.</w:t>
            </w: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Pinotti</w:t>
            </w:r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Amplificazione di una sequenza di DNA e sua caratterizzazione mediante enzimi di restrizione. </w:t>
            </w:r>
          </w:p>
          <w:p w:rsidR="00021FC4" w:rsidRPr="005174E3" w:rsidRDefault="00021FC4" w:rsidP="00E1380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Si procederà all’amplificazione di una sequenza di DNA umano ed alla sua separazione elettroforetica. Il frammento verrà poi sottoposto a taglio con enzimi di restrizione. Verranno processati campioni di DNA differenti che permetteranno di identificare var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iazioni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geniche.</w:t>
            </w:r>
            <w:bookmarkStart w:id="0" w:name="_GoBack"/>
            <w:bookmarkEnd w:id="0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  </w:t>
            </w:r>
            <w:proofErr w:type="gram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                         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it-IT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it-IT"/>
              </w:rPr>
              <w:t xml:space="preserve">Una settimana nel mese di marzo </w:t>
            </w:r>
          </w:p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Fisiologia vegetale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Prof. G. Forlani</w:t>
            </w:r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Carotenoidi, fenoli e proprietà nutrizionali degli alimenti.</w:t>
            </w:r>
          </w:p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Verranno spiegate le relazioni tra la presenza di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fitonutrienti</w:t>
            </w:r>
            <w:proofErr w:type="spell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e la prevenzione delle malattie cardiovascolari e tumorali. Saranno effettuate analisi sulla presenza di composti bioattivi in matrici vegetali (mediante LC e saggi colorimetrici).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Genetica 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Dott.ssa E.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Mamolini</w:t>
            </w:r>
            <w:proofErr w:type="spellEnd"/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Utilità dei materiali monouso sterili (guanti, puntali, provette) in laboratorio e importanza dei rifiuti speciali differenziati. Estrazione del DNA genomico da saliva, utilizzando colonne di silice: utilizzo della centrifuga, delle pipette e della bilancia analitica. Preparazione di un gel di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agarosio</w:t>
            </w:r>
            <w:proofErr w:type="spell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(1% w/v) per verificare l’integrità del DNA estratto (lettura al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transilluminatore</w:t>
            </w:r>
            <w:proofErr w:type="spell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) e identificazione della sua quantità con il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Nanodrop</w:t>
            </w:r>
            <w:proofErr w:type="spell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. Applicazioni (es. PCR).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Microbiologia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Dott.ssa S. Sabbioni</w:t>
            </w:r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Studio dei metodi per la crescita dei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</w:t>
            </w: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batteri. Introduzione ai metodi di controllo della crescita microbica tramite antibiotici e allo sviluppo di resistenze ai farmaci antibatterici. Preparazione di piastre di terreno selettivo e semina di batteri prelevati dal cavo orale su piastre in presenza e assenza di antibiotici.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452AEE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452AEE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Patologia</w:t>
            </w:r>
          </w:p>
        </w:tc>
        <w:tc>
          <w:tcPr>
            <w:tcW w:w="967" w:type="pct"/>
            <w:shd w:val="clear" w:color="auto" w:fill="auto"/>
          </w:tcPr>
          <w:p w:rsidR="00021FC4" w:rsidRPr="00452AEE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452AEE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Dott. D. Ferrari</w:t>
            </w:r>
          </w:p>
        </w:tc>
        <w:tc>
          <w:tcPr>
            <w:tcW w:w="2461" w:type="pct"/>
            <w:shd w:val="clear" w:color="auto" w:fill="auto"/>
          </w:tcPr>
          <w:p w:rsidR="00021FC4" w:rsidRPr="001415E2" w:rsidRDefault="00FE1E03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  <w:r w:rsidRPr="00FE1E0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Introduzione all’Immunologia e concetti generali sull’immunità. Conseguenze derivanti dal malfunzionamento del sistema immunitario (immunodeficienza, autoimmunità, ipersensibilità). La Patologia Generale, ambito di studio e finalità. Due patologie ricorrenti della nostra epoca: il tumore e l’aterosclerosi. Cause, caratteristiche, prevenzione.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</w:p>
        </w:tc>
      </w:tr>
    </w:tbl>
    <w:p w:rsidR="00021FC4" w:rsidRDefault="00021FC4" w:rsidP="00021FC4">
      <w:pPr>
        <w:pStyle w:val="Paragrafoelenco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  <w:lang w:eastAsia="it-IT"/>
        </w:rPr>
      </w:pPr>
    </w:p>
    <w:p w:rsidR="00021FC4" w:rsidRDefault="00021FC4" w:rsidP="00021FC4">
      <w:pPr>
        <w:pStyle w:val="Paragrafoelenco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  <w:lang w:eastAsia="it-IT"/>
        </w:rPr>
      </w:pPr>
    </w:p>
    <w:p w:rsidR="00021FC4" w:rsidRPr="00AA0597" w:rsidRDefault="00021FC4" w:rsidP="00021FC4">
      <w:pPr>
        <w:pStyle w:val="Paragrafoelenco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it-IT"/>
        </w:rPr>
      </w:pP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>Stage Area Biologico - molecolare e cellulare (2)</w:t>
      </w:r>
    </w:p>
    <w:tbl>
      <w:tblPr>
        <w:tblW w:w="5000" w:type="pct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000" w:firstRow="0" w:lastRow="0" w:firstColumn="0" w:lastColumn="0" w:noHBand="0" w:noVBand="0"/>
      </w:tblPr>
      <w:tblGrid>
        <w:gridCol w:w="1377"/>
        <w:gridCol w:w="1906"/>
        <w:gridCol w:w="4850"/>
        <w:gridCol w:w="1721"/>
      </w:tblGrid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Docenti</w:t>
            </w:r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Attività</w:t>
            </w:r>
          </w:p>
        </w:tc>
        <w:tc>
          <w:tcPr>
            <w:tcW w:w="873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Periodo</w:t>
            </w: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452AEE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452AEE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Biochimica </w:t>
            </w:r>
          </w:p>
        </w:tc>
        <w:tc>
          <w:tcPr>
            <w:tcW w:w="967" w:type="pct"/>
            <w:shd w:val="clear" w:color="auto" w:fill="auto"/>
          </w:tcPr>
          <w:p w:rsidR="00021FC4" w:rsidRPr="00452AEE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452AEE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Dott. M. Baroni</w:t>
            </w:r>
          </w:p>
        </w:tc>
        <w:tc>
          <w:tcPr>
            <w:tcW w:w="2461" w:type="pct"/>
            <w:shd w:val="clear" w:color="auto" w:fill="auto"/>
          </w:tcPr>
          <w:p w:rsidR="00021FC4" w:rsidRPr="00452AEE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452AEE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Quantificazione di un campione incognito di proteina, in soluzione acquosa.</w:t>
            </w:r>
            <w:r w:rsidR="008B35B1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</w:t>
            </w:r>
            <w:r w:rsidRPr="00452AEE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Basi della spettrofotometria di assorbimento, concetto di curva di taratura ed utilizzo in laboratorio.</w:t>
            </w:r>
          </w:p>
          <w:p w:rsidR="00021FC4" w:rsidRPr="00452AEE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452AEE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Si procederà alla colorazione delle proteine, mediante due distinti metodi dalla differente resa, al fine di renderle rilevabili </w:t>
            </w:r>
            <w:proofErr w:type="spellStart"/>
            <w:r w:rsidRPr="00452AEE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spettrofotometricamente</w:t>
            </w:r>
            <w:proofErr w:type="spellEnd"/>
            <w:r w:rsidRPr="00452AEE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. Confronto ed analisi delle contaminanti.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it-IT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Una settimana nel mese di giugno</w:t>
            </w: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D03E26" w:rsidRDefault="008C1237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  <w:lang w:eastAsia="ar-SA"/>
              </w:rPr>
            </w:pPr>
            <w:r w:rsidRPr="008C1237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Biologia Applicata</w:t>
            </w:r>
          </w:p>
        </w:tc>
        <w:tc>
          <w:tcPr>
            <w:tcW w:w="967" w:type="pct"/>
            <w:shd w:val="clear" w:color="auto" w:fill="auto"/>
          </w:tcPr>
          <w:p w:rsidR="00021FC4" w:rsidRPr="00D03E26" w:rsidRDefault="008C1237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  <w:lang w:eastAsia="ar-SA"/>
              </w:rPr>
            </w:pPr>
            <w:r w:rsidRPr="008C1237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Dott.ssa M. Chicca</w:t>
            </w:r>
          </w:p>
        </w:tc>
        <w:tc>
          <w:tcPr>
            <w:tcW w:w="2461" w:type="pct"/>
            <w:shd w:val="clear" w:color="auto" w:fill="auto"/>
          </w:tcPr>
          <w:p w:rsidR="0067365F" w:rsidRPr="00D03E26" w:rsidRDefault="008C1237" w:rsidP="008C1237">
            <w:pPr>
              <w:spacing w:after="0" w:line="360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  <w:lang w:eastAsia="ar-SA"/>
              </w:rPr>
            </w:pPr>
            <w:r w:rsidRPr="008C123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Metodi biochimici e molecolari di rilevazione delle specie reattive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</w:t>
            </w:r>
            <w:r w:rsidRPr="008C123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ell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’</w:t>
            </w:r>
            <w:r w:rsidRPr="008C123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ossigeno e dell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’</w:t>
            </w:r>
            <w:r w:rsidRPr="008C123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attività antiossidante in materiali biologici.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8C123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Preparazione di campioni e rilevazione di specie radicaliche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8C123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tramite spettrofotometria. Studio delle relazioni tra eventi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C123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apoptotici</w:t>
            </w:r>
            <w:proofErr w:type="spellEnd"/>
            <w:r w:rsidRPr="008C123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e produzione radicalica in patologie respiratorie.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0075C2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0075C2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Fisiologia </w:t>
            </w:r>
          </w:p>
        </w:tc>
        <w:tc>
          <w:tcPr>
            <w:tcW w:w="967" w:type="pct"/>
            <w:shd w:val="clear" w:color="auto" w:fill="auto"/>
          </w:tcPr>
          <w:p w:rsidR="000075C2" w:rsidRPr="000075C2" w:rsidRDefault="000075C2" w:rsidP="000075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0075C2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Prof. G. Rispoli</w:t>
            </w:r>
          </w:p>
          <w:p w:rsidR="00021FC4" w:rsidRPr="000075C2" w:rsidRDefault="000075C2" w:rsidP="000075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0075C2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Prof O. </w:t>
            </w:r>
            <w:proofErr w:type="spellStart"/>
            <w:r w:rsidRPr="000075C2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Belluzzi</w:t>
            </w:r>
            <w:proofErr w:type="spellEnd"/>
          </w:p>
        </w:tc>
        <w:tc>
          <w:tcPr>
            <w:tcW w:w="2461" w:type="pct"/>
            <w:shd w:val="clear" w:color="auto" w:fill="auto"/>
          </w:tcPr>
          <w:p w:rsidR="000075C2" w:rsidRPr="000075C2" w:rsidRDefault="000075C2" w:rsidP="008B35B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0075C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Cosa sono la luce ed il colore. I meccanismi biofisici alla base della percezione visiva e come gli artisti, basandosi inconsapevolmente su tali meccanismi, sono riusciti a creare molteplici illusioni percettive con particolari accorgimenti pittorici.</w:t>
            </w:r>
          </w:p>
          <w:p w:rsidR="00021FC4" w:rsidRPr="000075C2" w:rsidRDefault="000075C2" w:rsidP="008B35B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0075C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Proprietà delle cellule nervose. Descrizione, in termini fisici, del comportamento delle cellule nervose. Neurobiologia dell’olfatto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160435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160435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Genetica </w:t>
            </w:r>
          </w:p>
        </w:tc>
        <w:tc>
          <w:tcPr>
            <w:tcW w:w="967" w:type="pct"/>
            <w:shd w:val="clear" w:color="auto" w:fill="auto"/>
          </w:tcPr>
          <w:p w:rsidR="00021FC4" w:rsidRPr="00160435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160435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Prof. G. </w:t>
            </w:r>
            <w:proofErr w:type="spellStart"/>
            <w:r w:rsidRPr="00160435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Barbujani</w:t>
            </w:r>
            <w:proofErr w:type="spellEnd"/>
          </w:p>
        </w:tc>
        <w:tc>
          <w:tcPr>
            <w:tcW w:w="2461" w:type="pct"/>
            <w:shd w:val="clear" w:color="auto" w:fill="auto"/>
          </w:tcPr>
          <w:p w:rsidR="00021FC4" w:rsidRPr="00160435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160435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Breve introduzione sulla diversità genetica e sulla struttura dei genomi. Accesso a banche dati genetici. Estrazione di sequenze di DNA, allineamento di sequenze. Calcolo di semplici indici di variabilità.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E75131" w:rsidRDefault="00C970E8" w:rsidP="000075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Biologia Molecolare Vegetale</w:t>
            </w:r>
            <w:r w:rsidRPr="00C970E8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  </w:t>
            </w:r>
            <w:r w:rsidR="00021FC4" w:rsidRPr="00C970E8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67" w:type="pct"/>
            <w:shd w:val="clear" w:color="auto" w:fill="auto"/>
          </w:tcPr>
          <w:p w:rsidR="00021FC4" w:rsidRPr="00E75131" w:rsidRDefault="00C970E8" w:rsidP="00D03E2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Dott</w:t>
            </w:r>
            <w:r w:rsidR="00021FC4" w:rsidRPr="006E1A96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. </w:t>
            </w:r>
            <w:r w:rsidR="006E1A96" w:rsidRPr="006E1A96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G. </w:t>
            </w:r>
            <w:proofErr w:type="spellStart"/>
            <w:r w:rsidR="006E1A96" w:rsidRPr="006E1A96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Bernacchia</w:t>
            </w:r>
            <w:proofErr w:type="spellEnd"/>
          </w:p>
        </w:tc>
        <w:tc>
          <w:tcPr>
            <w:tcW w:w="2461" w:type="pct"/>
            <w:shd w:val="clear" w:color="auto" w:fill="auto"/>
          </w:tcPr>
          <w:p w:rsidR="000075C2" w:rsidRPr="00E75131" w:rsidRDefault="00C970E8" w:rsidP="008B35B1">
            <w:pPr>
              <w:spacing w:after="0" w:line="360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  <w:lang w:eastAsia="ar-SA"/>
              </w:rPr>
            </w:pPr>
            <w:r w:rsidRPr="00C970E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Metodi di manipolazione di cellule vegetali e modificazione genetica delle piante: colture in vitro e rigenerazione di piante superiori; ottenimento di piante transgeniche e problematiche correlate. Trasformazione genetica transiente.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</w:p>
        </w:tc>
      </w:tr>
    </w:tbl>
    <w:p w:rsidR="00021FC4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  <w:lang w:eastAsia="it-IT"/>
        </w:rPr>
      </w:pPr>
    </w:p>
    <w:p w:rsidR="00021FC4" w:rsidRDefault="00021FC4" w:rsidP="00021FC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  <w:lang w:eastAsia="it-IT"/>
        </w:rPr>
      </w:pPr>
    </w:p>
    <w:p w:rsidR="00021FC4" w:rsidRPr="00AA0597" w:rsidRDefault="00021FC4" w:rsidP="00021F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it-IT"/>
        </w:rPr>
      </w:pPr>
      <w:r w:rsidRPr="00AA0597">
        <w:rPr>
          <w:rFonts w:ascii="Arial Unicode MS" w:eastAsia="Arial Unicode MS" w:hAnsi="Arial Unicode MS" w:cs="Arial Unicode MS"/>
          <w:sz w:val="20"/>
          <w:szCs w:val="20"/>
          <w:lang w:eastAsia="it-IT"/>
        </w:rPr>
        <w:t>Stage Area Morfo-funzionale</w:t>
      </w:r>
    </w:p>
    <w:tbl>
      <w:tblPr>
        <w:tblW w:w="5000" w:type="pct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000" w:firstRow="0" w:lastRow="0" w:firstColumn="0" w:lastColumn="0" w:noHBand="0" w:noVBand="0"/>
      </w:tblPr>
      <w:tblGrid>
        <w:gridCol w:w="1377"/>
        <w:gridCol w:w="1906"/>
        <w:gridCol w:w="4850"/>
        <w:gridCol w:w="1721"/>
      </w:tblGrid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Docenti</w:t>
            </w:r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Attività</w:t>
            </w:r>
          </w:p>
        </w:tc>
        <w:tc>
          <w:tcPr>
            <w:tcW w:w="873" w:type="pct"/>
            <w:shd w:val="clear" w:color="auto" w:fill="auto"/>
          </w:tcPr>
          <w:p w:rsidR="00021FC4" w:rsidRPr="005174E3" w:rsidRDefault="00021FC4" w:rsidP="00E34EC2">
            <w:pPr>
              <w:suppressAutoHyphens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ar-SA"/>
              </w:rPr>
              <w:t>Periodo</w:t>
            </w: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Botanica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Prof.ssa S. Pancaldi</w:t>
            </w:r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Studio biochimico delle membrane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tilacoidali</w:t>
            </w:r>
            <w:proofErr w:type="spell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dei cloroplasti. </w:t>
            </w:r>
          </w:p>
          <w:p w:rsidR="00021FC4" w:rsidRPr="005174E3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Lo stage prevede l'apprendimento delle seguenti metodiche: </w:t>
            </w:r>
          </w:p>
          <w:p w:rsidR="00021FC4" w:rsidRPr="005174E3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1) separazione delle membrane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tilacoidali</w:t>
            </w:r>
            <w:proofErr w:type="spell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da foglie di spinacio; 2) separazione elettroforetica delle componenti proteiche dei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fotosistemi</w:t>
            </w:r>
            <w:proofErr w:type="spell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; 3) analisi fluorimetrica e spettrofotometrica dei pigmenti fotosintetici.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it-IT"/>
              </w:rPr>
            </w:pPr>
          </w:p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it-IT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it-IT"/>
              </w:rPr>
              <w:t xml:space="preserve">Una settimana nel mese di giugno   </w:t>
            </w:r>
          </w:p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it-IT"/>
              </w:rPr>
            </w:pPr>
          </w:p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Ecologia delle acque dolci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Prof.ssa E.A. Fano</w:t>
            </w:r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Biodiversità e Servizi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Ecosistemici</w:t>
            </w:r>
            <w:proofErr w:type="spell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in ecosistemi di acqua dolce.</w:t>
            </w:r>
          </w:p>
          <w:p w:rsidR="00021FC4" w:rsidRPr="005174E3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Gli studenti verranno introdotti al tema, di particolare attualità in Italia e in Europa, sugli ecosistemi di acqua dolce in generale e su quelli del nostro territorio, in particolare. Verranno analizzate e misurate sperimentalmente le principali variabili abiotiche e biotiche (componenti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macrobentonica</w:t>
            </w:r>
            <w:proofErr w:type="spell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, planctonica e ittica) degli ecosistemi. Verranno effettuate stime numeriche di biodiversità e convertite in “valore di servizio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ecosistemico</w:t>
            </w:r>
            <w:proofErr w:type="spell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”.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Ecologia marina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Prof. M.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Mistri</w:t>
            </w:r>
            <w:proofErr w:type="spellEnd"/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Analisi degli ecosistemi marini costieri e di transizione (estuari e lagune). Verranno prese in esame le componenti biotiche ed abiotiche di tali ecosistemi per determinarne il funzionamento e la </w:t>
            </w: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lastRenderedPageBreak/>
              <w:t>biodiversità. Verrà utilizzata la fauna bentonica marino-costiera e degli ecosistemi di transizione come strumento per la determinazione della qualità ambientale. Verranno analizzati i popolamenti ittici presenti nei sistemi di transizione per la stima della produttività.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widowControl w:val="0"/>
              <w:tabs>
                <w:tab w:val="left" w:pos="567"/>
                <w:tab w:val="left" w:pos="1134"/>
                <w:tab w:val="left" w:pos="2755"/>
              </w:tabs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Etologia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1A58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Prof. </w:t>
            </w:r>
            <w:r w:rsidR="001A58E0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C. Bertolucci</w:t>
            </w:r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Tecniche di studio dell'apprendimento nei rettili. Tecniche di registrazione dell'attività locomotoria nei pesci. Effetti sul comportamento di variabili ambientali quali luce, temperatura e alimentazione.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021FC4" w:rsidRPr="005174E3" w:rsidTr="00E34EC2">
        <w:tc>
          <w:tcPr>
            <w:tcW w:w="699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Zoologia e Istologia</w:t>
            </w:r>
          </w:p>
        </w:tc>
        <w:tc>
          <w:tcPr>
            <w:tcW w:w="967" w:type="pct"/>
            <w:shd w:val="clear" w:color="auto" w:fill="auto"/>
          </w:tcPr>
          <w:p w:rsidR="00021FC4" w:rsidRPr="005174E3" w:rsidRDefault="00021FC4" w:rsidP="00E34EC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Prof. G. Grandi e dott.ssa M.G. Marchetti</w:t>
            </w:r>
          </w:p>
        </w:tc>
        <w:tc>
          <w:tcPr>
            <w:tcW w:w="2461" w:type="pct"/>
            <w:shd w:val="clear" w:color="auto" w:fill="auto"/>
          </w:tcPr>
          <w:p w:rsidR="00021FC4" w:rsidRPr="005174E3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Allestimento di preparati biologici per microscopia ottica ed elettronica. Verranno effettuati:</w:t>
            </w:r>
          </w:p>
          <w:p w:rsidR="00021FC4" w:rsidRPr="005174E3" w:rsidRDefault="00021FC4" w:rsidP="008B35B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</w:pPr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Dissezioni e prelievi di organi da animali (invertebrati e/o vertebrati), nel rispetto delle vigenti normative in materia di protezione degli animali utilizzati a fini scientifici. Preparazione di campioni per la microscopia ottica ed uso del microscopio ottico. </w:t>
            </w:r>
            <w:proofErr w:type="spellStart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>Immunolocalizzazione</w:t>
            </w:r>
            <w:proofErr w:type="spellEnd"/>
            <w:r w:rsidRPr="005174E3">
              <w:rPr>
                <w:rFonts w:ascii="Arial Unicode MS" w:eastAsia="Arial Unicode MS" w:hAnsi="Arial Unicode MS" w:cs="Arial Unicode MS"/>
                <w:sz w:val="16"/>
                <w:szCs w:val="16"/>
                <w:lang w:eastAsia="ar-SA"/>
              </w:rPr>
              <w:t xml:space="preserve"> indiretta con identificazione di cellule specifiche per microscopia ottica. Preparazione di campioni biologici per la microscopia elettronica. Osservazione dei preparati al microscopio elettronico a scansione e a trasmissione. Interpretazione di immagini microscopiche ottiche ed elettroniche.</w:t>
            </w:r>
          </w:p>
        </w:tc>
        <w:tc>
          <w:tcPr>
            <w:tcW w:w="873" w:type="pct"/>
            <w:vMerge/>
            <w:shd w:val="clear" w:color="auto" w:fill="auto"/>
          </w:tcPr>
          <w:p w:rsidR="00021FC4" w:rsidRPr="005174E3" w:rsidRDefault="00021FC4" w:rsidP="00E34EC2">
            <w:pPr>
              <w:suppressAutoHyphens/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  <w:lang w:eastAsia="ar-SA"/>
              </w:rPr>
            </w:pPr>
          </w:p>
        </w:tc>
      </w:tr>
    </w:tbl>
    <w:p w:rsidR="00021FC4" w:rsidRDefault="00021FC4" w:rsidP="00021FC4">
      <w:pPr>
        <w:spacing w:after="0" w:line="240" w:lineRule="auto"/>
        <w:jc w:val="both"/>
      </w:pPr>
    </w:p>
    <w:sectPr w:rsidR="00021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ECD"/>
    <w:multiLevelType w:val="hybridMultilevel"/>
    <w:tmpl w:val="F424BB1C"/>
    <w:lvl w:ilvl="0" w:tplc="123A9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0C"/>
    <w:rsid w:val="000075C2"/>
    <w:rsid w:val="00021FC4"/>
    <w:rsid w:val="00040AE3"/>
    <w:rsid w:val="000C110C"/>
    <w:rsid w:val="00160435"/>
    <w:rsid w:val="001A58E0"/>
    <w:rsid w:val="006375DE"/>
    <w:rsid w:val="0067365F"/>
    <w:rsid w:val="006E1A96"/>
    <w:rsid w:val="007A0190"/>
    <w:rsid w:val="00856868"/>
    <w:rsid w:val="008B35B1"/>
    <w:rsid w:val="008C1237"/>
    <w:rsid w:val="009136A9"/>
    <w:rsid w:val="00C970E8"/>
    <w:rsid w:val="00D03E26"/>
    <w:rsid w:val="00E13809"/>
    <w:rsid w:val="00E75131"/>
    <w:rsid w:val="00F0560C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29018-31AA-4DE3-BB01-BDB722EA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F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1FC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Carpredefinitoparagrafo"/>
    <w:rsid w:val="00C9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Bedeschi</dc:creator>
  <cp:lastModifiedBy>Marcello</cp:lastModifiedBy>
  <cp:revision>19</cp:revision>
  <dcterms:created xsi:type="dcterms:W3CDTF">2016-07-20T10:13:00Z</dcterms:created>
  <dcterms:modified xsi:type="dcterms:W3CDTF">2016-09-06T12:54:00Z</dcterms:modified>
</cp:coreProperties>
</file>